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40" w:lineRule="exact"/>
        <w:jc w:val="center"/>
        <w:rPr>
          <w:b/>
          <w:bCs/>
          <w:sz w:val="24"/>
        </w:rPr>
      </w:pPr>
      <w:r>
        <w:rPr>
          <w:rFonts w:hint="eastAsia"/>
          <w:b/>
          <w:bCs/>
          <w:sz w:val="24"/>
        </w:rPr>
        <w:t>中国家具协会团体标准《</w:t>
      </w:r>
      <w:r>
        <w:rPr>
          <w:rFonts w:hint="eastAsia"/>
          <w:b/>
          <w:bCs/>
          <w:sz w:val="24"/>
          <w:lang w:val="en-US" w:eastAsia="zh-CN"/>
        </w:rPr>
        <w:t>沙发质量安全等级评定</w:t>
      </w:r>
      <w:r>
        <w:rPr>
          <w:rFonts w:hint="eastAsia"/>
          <w:b/>
          <w:bCs/>
          <w:sz w:val="24"/>
        </w:rPr>
        <w:t>》编</w:t>
      </w:r>
      <w:r>
        <w:rPr>
          <w:b/>
          <w:bCs/>
          <w:sz w:val="24"/>
        </w:rPr>
        <w:t>制说明</w:t>
      </w:r>
    </w:p>
    <w:p>
      <w:pPr>
        <w:spacing w:line="440" w:lineRule="exact"/>
        <w:jc w:val="center"/>
        <w:rPr>
          <w:sz w:val="24"/>
        </w:rPr>
      </w:pPr>
      <w:r>
        <w:rPr>
          <w:rFonts w:hint="eastAsia"/>
          <w:b/>
          <w:bCs/>
          <w:sz w:val="24"/>
        </w:rPr>
        <w:t>（征求意见稿）</w:t>
      </w:r>
    </w:p>
    <w:p>
      <w:pPr>
        <w:tabs>
          <w:tab w:val="left" w:pos="3620"/>
        </w:tabs>
        <w:spacing w:line="440" w:lineRule="exact"/>
        <w:ind w:firstLine="516"/>
        <w:rPr>
          <w:sz w:val="24"/>
        </w:rPr>
      </w:pPr>
      <w:r>
        <w:rPr>
          <w:sz w:val="24"/>
        </w:rPr>
        <w:tab/>
      </w:r>
    </w:p>
    <w:p>
      <w:pPr>
        <w:numPr>
          <w:ilvl w:val="0"/>
          <w:numId w:val="2"/>
        </w:numPr>
        <w:spacing w:afterLines="50" w:line="440" w:lineRule="exact"/>
        <w:rPr>
          <w:b/>
          <w:sz w:val="24"/>
        </w:rPr>
      </w:pPr>
      <w:r>
        <w:rPr>
          <w:b/>
          <w:sz w:val="24"/>
        </w:rPr>
        <w:t>工作概况</w:t>
      </w:r>
    </w:p>
    <w:p>
      <w:pPr>
        <w:spacing w:afterLines="50" w:line="440" w:lineRule="exact"/>
        <w:rPr>
          <w:b/>
          <w:sz w:val="24"/>
        </w:rPr>
      </w:pPr>
      <w:r>
        <w:rPr>
          <w:b/>
          <w:sz w:val="24"/>
        </w:rPr>
        <w:t>1</w:t>
      </w:r>
      <w:r>
        <w:rPr>
          <w:rFonts w:hint="eastAsia"/>
          <w:b/>
          <w:sz w:val="24"/>
        </w:rPr>
        <w:t>、</w:t>
      </w:r>
      <w:r>
        <w:rPr>
          <w:b/>
          <w:sz w:val="24"/>
        </w:rPr>
        <w:t>任务来源</w:t>
      </w:r>
    </w:p>
    <w:p>
      <w:pPr>
        <w:spacing w:line="440" w:lineRule="exact"/>
        <w:ind w:firstLine="480" w:firstLineChars="200"/>
        <w:rPr>
          <w:sz w:val="24"/>
        </w:rPr>
      </w:pPr>
      <w:r>
        <w:rPr>
          <w:rFonts w:hint="eastAsia"/>
          <w:sz w:val="24"/>
          <w:lang w:val="en-US" w:eastAsia="zh-CN"/>
        </w:rPr>
        <w:t>2020</w:t>
      </w:r>
      <w:r>
        <w:rPr>
          <w:sz w:val="24"/>
        </w:rPr>
        <w:t>年</w:t>
      </w:r>
      <w:r>
        <w:rPr>
          <w:rFonts w:hint="eastAsia"/>
          <w:sz w:val="24"/>
          <w:lang w:val="en-US" w:eastAsia="zh-CN"/>
        </w:rPr>
        <w:t>6</w:t>
      </w:r>
      <w:r>
        <w:rPr>
          <w:sz w:val="24"/>
        </w:rPr>
        <w:t>月</w:t>
      </w:r>
      <w:r>
        <w:rPr>
          <w:rFonts w:hint="eastAsia"/>
          <w:sz w:val="24"/>
          <w:lang w:val="en-US" w:eastAsia="zh-CN"/>
        </w:rPr>
        <w:t>18</w:t>
      </w:r>
      <w:r>
        <w:rPr>
          <w:sz w:val="24"/>
        </w:rPr>
        <w:t>日，</w:t>
      </w:r>
      <w:r>
        <w:rPr>
          <w:rFonts w:hint="eastAsia"/>
          <w:sz w:val="24"/>
        </w:rPr>
        <w:t>中国家具协会质量</w:t>
      </w:r>
      <w:r>
        <w:rPr>
          <w:sz w:val="24"/>
        </w:rPr>
        <w:t>标准委员会发布了《关于</w:t>
      </w:r>
      <w:r>
        <w:rPr>
          <w:rFonts w:hint="eastAsia"/>
          <w:sz w:val="24"/>
          <w:lang w:val="en-US" w:eastAsia="zh-CN"/>
        </w:rPr>
        <w:t>下达</w:t>
      </w:r>
      <w:r>
        <w:rPr>
          <w:rFonts w:hint="eastAsia" w:ascii="宋体" w:hAnsi="宋体" w:eastAsia="宋体" w:cs="宋体"/>
          <w:sz w:val="24"/>
          <w:lang w:val="en-US" w:eastAsia="zh-CN"/>
        </w:rPr>
        <w:t>&lt;</w:t>
      </w:r>
      <w:r>
        <w:rPr>
          <w:rFonts w:hint="eastAsia" w:ascii="宋体" w:hAnsi="宋体" w:cs="宋体"/>
          <w:sz w:val="24"/>
          <w:lang w:val="en-US" w:eastAsia="zh-CN"/>
        </w:rPr>
        <w:t>床垫质量安全等级评定</w:t>
      </w:r>
      <w:r>
        <w:rPr>
          <w:rFonts w:hint="eastAsia" w:ascii="宋体" w:hAnsi="宋体" w:eastAsia="宋体" w:cs="宋体"/>
          <w:sz w:val="24"/>
          <w:lang w:val="en-US" w:eastAsia="zh-CN"/>
        </w:rPr>
        <w:t>&gt;</w:t>
      </w:r>
      <w:r>
        <w:rPr>
          <w:rFonts w:hint="eastAsia" w:ascii="宋体" w:hAnsi="宋体" w:cs="宋体"/>
          <w:sz w:val="24"/>
          <w:lang w:val="en-US" w:eastAsia="zh-CN"/>
        </w:rPr>
        <w:t>等4项中国家具协会</w:t>
      </w:r>
      <w:r>
        <w:rPr>
          <w:rFonts w:hint="eastAsia"/>
          <w:sz w:val="24"/>
        </w:rPr>
        <w:t>团体</w:t>
      </w:r>
      <w:r>
        <w:rPr>
          <w:sz w:val="24"/>
        </w:rPr>
        <w:t>标准</w:t>
      </w:r>
      <w:r>
        <w:rPr>
          <w:rFonts w:hint="eastAsia"/>
          <w:sz w:val="24"/>
          <w:lang w:val="en-US" w:eastAsia="zh-CN"/>
        </w:rPr>
        <w:t>项目</w:t>
      </w:r>
      <w:r>
        <w:rPr>
          <w:sz w:val="24"/>
        </w:rPr>
        <w:t>计划的通知》</w:t>
      </w:r>
      <w:r>
        <w:rPr>
          <w:rFonts w:hint="eastAsia"/>
          <w:sz w:val="24"/>
          <w:lang w:eastAsia="zh-CN"/>
        </w:rPr>
        <w:t>（</w:t>
      </w:r>
      <w:r>
        <w:rPr>
          <w:rFonts w:hint="eastAsia"/>
          <w:sz w:val="24"/>
          <w:lang w:val="en-US" w:eastAsia="zh-CN"/>
        </w:rPr>
        <w:t>中家协办{2020}16号</w:t>
      </w:r>
      <w:r>
        <w:rPr>
          <w:rFonts w:hint="eastAsia"/>
          <w:sz w:val="24"/>
          <w:lang w:eastAsia="zh-CN"/>
        </w:rPr>
        <w:t>）</w:t>
      </w:r>
      <w:r>
        <w:rPr>
          <w:sz w:val="24"/>
        </w:rPr>
        <w:t>，其中</w:t>
      </w:r>
      <w:r>
        <w:rPr>
          <w:rFonts w:hint="eastAsia"/>
          <w:sz w:val="24"/>
        </w:rPr>
        <w:t xml:space="preserve"> </w:t>
      </w:r>
      <w:r>
        <w:rPr>
          <w:sz w:val="24"/>
        </w:rPr>
        <w:t>《</w:t>
      </w:r>
      <w:r>
        <w:rPr>
          <w:rFonts w:hint="eastAsia"/>
          <w:sz w:val="24"/>
          <w:lang w:val="en-US" w:eastAsia="zh-CN"/>
        </w:rPr>
        <w:t>沙发质量安全等级评定</w:t>
      </w:r>
      <w:r>
        <w:rPr>
          <w:sz w:val="24"/>
        </w:rPr>
        <w:t>》</w:t>
      </w:r>
      <w:r>
        <w:rPr>
          <w:rFonts w:hint="eastAsia"/>
          <w:sz w:val="24"/>
        </w:rPr>
        <w:t xml:space="preserve"> </w:t>
      </w:r>
      <w:r>
        <w:rPr>
          <w:sz w:val="24"/>
        </w:rPr>
        <w:t>由</w:t>
      </w:r>
      <w:r>
        <w:rPr>
          <w:rFonts w:hint="eastAsia"/>
          <w:sz w:val="24"/>
        </w:rPr>
        <w:t>中国家具协会质量</w:t>
      </w:r>
      <w:r>
        <w:rPr>
          <w:sz w:val="24"/>
        </w:rPr>
        <w:t>标准委员会归口，</w:t>
      </w:r>
      <w:r>
        <w:rPr>
          <w:rFonts w:hint="eastAsia" w:hAnsi="宋体"/>
        </w:rPr>
        <w:t>北京市产品质量监督检验院（国家家具及室内环境质量监督检验中心）等</w:t>
      </w:r>
      <w:r>
        <w:rPr>
          <w:rFonts w:hint="eastAsia"/>
          <w:sz w:val="24"/>
        </w:rPr>
        <w:t>参与</w:t>
      </w:r>
      <w:r>
        <w:rPr>
          <w:sz w:val="24"/>
        </w:rPr>
        <w:t>该标准的编制任务。</w:t>
      </w:r>
    </w:p>
    <w:p>
      <w:pPr>
        <w:numPr>
          <w:ilvl w:val="0"/>
          <w:numId w:val="3"/>
        </w:numPr>
        <w:spacing w:beforeLines="50" w:line="440" w:lineRule="exact"/>
        <w:rPr>
          <w:b/>
          <w:sz w:val="24"/>
        </w:rPr>
      </w:pPr>
      <w:r>
        <w:rPr>
          <w:rFonts w:hint="eastAsia"/>
          <w:b/>
          <w:sz w:val="24"/>
        </w:rPr>
        <w:t>制定的意义</w:t>
      </w:r>
    </w:p>
    <w:p>
      <w:pPr>
        <w:spacing w:line="440" w:lineRule="exact"/>
        <w:ind w:firstLine="480" w:firstLineChars="200"/>
        <w:rPr>
          <w:sz w:val="24"/>
        </w:rPr>
      </w:pPr>
      <w:r>
        <w:rPr>
          <w:rFonts w:hint="eastAsia"/>
          <w:sz w:val="24"/>
        </w:rPr>
        <w:t xml:space="preserve">目前关于沙发类产品在实施中的国家标准和轻工行业标准有GB/T </w:t>
      </w:r>
      <w:r>
        <w:rPr>
          <w:sz w:val="24"/>
        </w:rPr>
        <w:t>39223.6-2020</w:t>
      </w:r>
      <w:r>
        <w:rPr>
          <w:rFonts w:hint="eastAsia"/>
          <w:sz w:val="24"/>
        </w:rPr>
        <w:t>《健康家居的人类工效学要求第6部分：沙发》、QB/T 1952.1-2012《软体家具沙发》、QB/T</w:t>
      </w:r>
      <w:r>
        <w:rPr>
          <w:sz w:val="24"/>
        </w:rPr>
        <w:t xml:space="preserve"> 4462</w:t>
      </w:r>
      <w:r>
        <w:rPr>
          <w:rFonts w:hint="eastAsia"/>
          <w:sz w:val="24"/>
        </w:rPr>
        <w:t>-201</w:t>
      </w:r>
      <w:r>
        <w:rPr>
          <w:sz w:val="24"/>
        </w:rPr>
        <w:t>3</w:t>
      </w:r>
      <w:r>
        <w:rPr>
          <w:rFonts w:hint="eastAsia"/>
          <w:sz w:val="24"/>
        </w:rPr>
        <w:t>《软体家具手动折叠沙发》、QB/T</w:t>
      </w:r>
      <w:r>
        <w:rPr>
          <w:sz w:val="24"/>
        </w:rPr>
        <w:t xml:space="preserve"> 4768</w:t>
      </w:r>
      <w:r>
        <w:rPr>
          <w:rFonts w:hint="eastAsia"/>
          <w:sz w:val="24"/>
        </w:rPr>
        <w:t>-201</w:t>
      </w:r>
      <w:r>
        <w:rPr>
          <w:sz w:val="24"/>
        </w:rPr>
        <w:t>4</w:t>
      </w:r>
      <w:r>
        <w:rPr>
          <w:rFonts w:hint="eastAsia"/>
          <w:sz w:val="24"/>
        </w:rPr>
        <w:t>《沙发床》，虽然这些现行标准都有相应的要求和试验方法，有些也涉及到简单的产品等级分类，但检验项目及分级检验项目偏少。随着科技和人文的发展，与沙发类产品相关的原材料、生产加工技术、设计、检验方法和设备、人们对健康家居的理解及需求等都有很大提升和改进，市场上对各种沙发类产品质量等级的区分需求也愈加明显。制定该标准就是根据产品质量对其进行更好的分级，该标准是以上述几个标准为基础，增加更多被消费者关注的检验项目，如人体工效学、有害物质限量等，增加和优化部分分级项目，如皮革耐磨性、泡沫塑料密度和回弹性能等，从产品设计和生产技术角度出发，该标准对企业生产和销售高质量、性能参数有差异的产品有积极的促进作用，从产品被使用角度出发，消费者对适宜的、好的产品的需求及理解会有一定的改善和提升。因此为了促进生产和市场的发展，进一步满足消费者对产品的深度需求，特制定该标准。</w:t>
      </w:r>
    </w:p>
    <w:p>
      <w:pPr>
        <w:spacing w:beforeLines="50" w:line="360" w:lineRule="auto"/>
        <w:jc w:val="left"/>
        <w:rPr>
          <w:rFonts w:hAnsi="宋体"/>
          <w:b/>
          <w:sz w:val="24"/>
        </w:rPr>
      </w:pPr>
      <w:r>
        <w:rPr>
          <w:rFonts w:hint="eastAsia" w:hAnsi="宋体"/>
          <w:b/>
          <w:sz w:val="24"/>
        </w:rPr>
        <w:t>3、起草小组的组建</w:t>
      </w:r>
    </w:p>
    <w:p>
      <w:pPr>
        <w:spacing w:beforeLines="50" w:line="440" w:lineRule="exact"/>
        <w:ind w:firstLine="424" w:firstLineChars="177"/>
        <w:rPr>
          <w:sz w:val="24"/>
        </w:rPr>
      </w:pPr>
      <w:r>
        <w:rPr>
          <w:rFonts w:hint="eastAsia"/>
          <w:sz w:val="24"/>
        </w:rPr>
        <w:t>本标准起草小组于</w:t>
      </w:r>
      <w:r>
        <w:rPr>
          <w:rFonts w:hint="eastAsia"/>
          <w:sz w:val="24"/>
          <w:lang w:val="en-US" w:eastAsia="zh-CN"/>
        </w:rPr>
        <w:t>2020</w:t>
      </w:r>
      <w:r>
        <w:rPr>
          <w:rFonts w:hint="eastAsia"/>
          <w:sz w:val="24"/>
        </w:rPr>
        <w:t>年</w:t>
      </w:r>
      <w:r>
        <w:rPr>
          <w:rFonts w:hint="eastAsia"/>
          <w:sz w:val="24"/>
          <w:lang w:val="en-US" w:eastAsia="zh-CN"/>
        </w:rPr>
        <w:t>6</w:t>
      </w:r>
      <w:r>
        <w:rPr>
          <w:rFonts w:hint="eastAsia"/>
          <w:sz w:val="24"/>
        </w:rPr>
        <w:t>月</w:t>
      </w:r>
      <w:r>
        <w:rPr>
          <w:rFonts w:hint="eastAsia"/>
          <w:sz w:val="24"/>
          <w:lang w:val="en-US" w:eastAsia="zh-CN"/>
        </w:rPr>
        <w:t>30</w:t>
      </w:r>
      <w:r>
        <w:rPr>
          <w:rFonts w:hint="eastAsia"/>
          <w:sz w:val="24"/>
        </w:rPr>
        <w:t>日组建，包含了行业龙头企业、检测机构、科研院所、行业协会等。起草小组由</w:t>
      </w:r>
      <w:r>
        <w:rPr>
          <w:rFonts w:hint="eastAsia"/>
          <w:sz w:val="24"/>
          <w:lang w:val="en-US" w:eastAsia="zh-CN"/>
        </w:rPr>
        <w:t>各参与单位</w:t>
      </w:r>
      <w:r>
        <w:rPr>
          <w:rFonts w:hint="eastAsia"/>
          <w:sz w:val="24"/>
        </w:rPr>
        <w:t>技术专家组成。</w:t>
      </w:r>
    </w:p>
    <w:p>
      <w:pPr>
        <w:spacing w:beforeLines="50" w:line="440" w:lineRule="exact"/>
        <w:rPr>
          <w:b/>
          <w:sz w:val="24"/>
        </w:rPr>
      </w:pPr>
      <w:r>
        <w:rPr>
          <w:rFonts w:hint="eastAsia"/>
          <w:b/>
          <w:sz w:val="24"/>
        </w:rPr>
        <w:t>4、主要</w:t>
      </w:r>
      <w:r>
        <w:rPr>
          <w:b/>
          <w:sz w:val="24"/>
        </w:rPr>
        <w:t>工作</w:t>
      </w:r>
      <w:r>
        <w:rPr>
          <w:rFonts w:hint="eastAsia"/>
          <w:b/>
          <w:sz w:val="24"/>
        </w:rPr>
        <w:t>过程</w:t>
      </w:r>
    </w:p>
    <w:p>
      <w:pPr>
        <w:spacing w:beforeLines="50" w:line="440" w:lineRule="exact"/>
        <w:rPr>
          <w:b/>
          <w:sz w:val="24"/>
        </w:rPr>
      </w:pPr>
      <w:r>
        <w:rPr>
          <w:rFonts w:hint="eastAsia"/>
          <w:b/>
          <w:sz w:val="24"/>
        </w:rPr>
        <w:t>（1）收集整理国内外相关标准文献</w:t>
      </w:r>
    </w:p>
    <w:p>
      <w:pPr>
        <w:spacing w:beforeLines="50" w:line="440" w:lineRule="exact"/>
        <w:ind w:firstLine="480"/>
        <w:rPr>
          <w:sz w:val="24"/>
        </w:rPr>
      </w:pPr>
      <w:r>
        <w:rPr>
          <w:rFonts w:hint="eastAsia"/>
          <w:sz w:val="24"/>
        </w:rPr>
        <w:t>在标准制定过程中，收集查阅了沙发类产品相关的标准文献，主要参考标准如下：</w:t>
      </w:r>
    </w:p>
    <w:p>
      <w:pPr>
        <w:spacing w:beforeLines="50" w:line="440" w:lineRule="exact"/>
        <w:ind w:firstLine="480"/>
        <w:rPr>
          <w:sz w:val="24"/>
        </w:rPr>
      </w:pPr>
      <w:r>
        <w:rPr>
          <w:sz w:val="24"/>
        </w:rPr>
        <w:t>GB∕T 39223.6-2020 健康家居的人类工效学要求第6部分：沙发</w:t>
      </w:r>
    </w:p>
    <w:p>
      <w:pPr>
        <w:spacing w:beforeLines="50" w:line="440" w:lineRule="exact"/>
        <w:ind w:firstLine="480"/>
        <w:rPr>
          <w:sz w:val="24"/>
        </w:rPr>
      </w:pPr>
      <w:r>
        <w:rPr>
          <w:sz w:val="24"/>
        </w:rPr>
        <w:t>GBT 38733-2020 办公家具办公椅尺寸测量方法</w:t>
      </w:r>
    </w:p>
    <w:p>
      <w:pPr>
        <w:spacing w:beforeLines="50" w:line="440" w:lineRule="exact"/>
        <w:ind w:firstLine="480"/>
        <w:rPr>
          <w:sz w:val="24"/>
        </w:rPr>
      </w:pPr>
      <w:r>
        <w:rPr>
          <w:sz w:val="24"/>
        </w:rPr>
        <w:t xml:space="preserve">BIFMA X5.4-2020American National Standard for Office and Institutional Furnishings Public and Lounge Seating </w:t>
      </w:r>
    </w:p>
    <w:p>
      <w:pPr>
        <w:spacing w:beforeLines="50" w:line="440" w:lineRule="exact"/>
        <w:ind w:firstLine="480"/>
        <w:rPr>
          <w:sz w:val="24"/>
        </w:rPr>
      </w:pPr>
      <w:r>
        <w:rPr>
          <w:sz w:val="24"/>
        </w:rPr>
        <w:t>BS EN 1728：2012 Furniture-Seating-Test methods for the determination of strength and durability</w:t>
      </w:r>
    </w:p>
    <w:p>
      <w:pPr>
        <w:spacing w:beforeLines="50" w:line="440" w:lineRule="exact"/>
        <w:ind w:firstLine="480"/>
        <w:rPr>
          <w:sz w:val="24"/>
        </w:rPr>
      </w:pPr>
      <w:r>
        <w:rPr>
          <w:rFonts w:hint="eastAsia"/>
          <w:sz w:val="24"/>
        </w:rPr>
        <w:t>QB/T1952.1-2012 软体家具沙发</w:t>
      </w:r>
    </w:p>
    <w:p>
      <w:pPr>
        <w:spacing w:beforeLines="50" w:line="440" w:lineRule="exact"/>
        <w:ind w:firstLine="480"/>
        <w:rPr>
          <w:sz w:val="24"/>
        </w:rPr>
      </w:pPr>
      <w:r>
        <w:rPr>
          <w:sz w:val="24"/>
        </w:rPr>
        <w:t>QB/T 4462-2013软体家具手动折叠沙发</w:t>
      </w:r>
    </w:p>
    <w:p>
      <w:pPr>
        <w:spacing w:beforeLines="50" w:line="440" w:lineRule="exact"/>
        <w:ind w:firstLine="480"/>
        <w:rPr>
          <w:sz w:val="24"/>
        </w:rPr>
      </w:pPr>
      <w:r>
        <w:rPr>
          <w:rFonts w:hint="eastAsia"/>
          <w:sz w:val="24"/>
        </w:rPr>
        <w:t>QB/T</w:t>
      </w:r>
      <w:r>
        <w:rPr>
          <w:sz w:val="24"/>
        </w:rPr>
        <w:t xml:space="preserve"> 4768</w:t>
      </w:r>
      <w:r>
        <w:rPr>
          <w:rFonts w:hint="eastAsia"/>
          <w:sz w:val="24"/>
        </w:rPr>
        <w:t>-201</w:t>
      </w:r>
      <w:r>
        <w:rPr>
          <w:sz w:val="24"/>
        </w:rPr>
        <w:t xml:space="preserve">4 </w:t>
      </w:r>
      <w:r>
        <w:rPr>
          <w:rFonts w:hint="eastAsia"/>
          <w:sz w:val="24"/>
        </w:rPr>
        <w:t>沙发床</w:t>
      </w:r>
    </w:p>
    <w:p>
      <w:pPr>
        <w:pStyle w:val="2"/>
        <w:widowControl/>
        <w:shd w:val="clear" w:color="auto" w:fill="FFFFFF"/>
        <w:spacing w:before="300" w:beforeAutospacing="0" w:after="150" w:afterAutospacing="0" w:line="17" w:lineRule="atLeast"/>
        <w:ind w:firstLine="480" w:firstLineChars="200"/>
        <w:rPr>
          <w:rFonts w:hint="default" w:ascii="Times New Roman" w:hAnsi="Times New Roman"/>
          <w:b w:val="0"/>
          <w:bCs w:val="0"/>
          <w:kern w:val="2"/>
          <w:sz w:val="24"/>
          <w:szCs w:val="24"/>
        </w:rPr>
      </w:pPr>
      <w:r>
        <w:rPr>
          <w:rFonts w:hint="default" w:ascii="Times New Roman" w:hAnsi="Times New Roman"/>
          <w:b w:val="0"/>
          <w:bCs w:val="0"/>
          <w:kern w:val="2"/>
          <w:sz w:val="24"/>
          <w:szCs w:val="24"/>
        </w:rPr>
        <w:t>GB/T 35607-2017</w:t>
      </w:r>
      <w:r>
        <w:rPr>
          <w:rFonts w:ascii="Times New Roman" w:hAnsi="Times New Roman"/>
          <w:b w:val="0"/>
          <w:bCs w:val="0"/>
          <w:kern w:val="2"/>
          <w:sz w:val="24"/>
          <w:szCs w:val="24"/>
        </w:rPr>
        <w:t>绿色产品评价家具</w:t>
      </w:r>
    </w:p>
    <w:p>
      <w:pPr>
        <w:rPr>
          <w:b/>
          <w:sz w:val="24"/>
        </w:rPr>
      </w:pPr>
      <w:r>
        <w:rPr>
          <w:rFonts w:hint="eastAsia"/>
          <w:b/>
          <w:sz w:val="24"/>
        </w:rPr>
        <w:t>（2）项目</w:t>
      </w:r>
      <w:r>
        <w:rPr>
          <w:b/>
          <w:sz w:val="24"/>
        </w:rPr>
        <w:t>启动</w:t>
      </w:r>
      <w:r>
        <w:rPr>
          <w:rFonts w:hint="eastAsia"/>
          <w:b/>
          <w:sz w:val="24"/>
        </w:rPr>
        <w:t>会</w:t>
      </w:r>
    </w:p>
    <w:p>
      <w:pPr>
        <w:spacing w:beforeLines="50" w:line="440" w:lineRule="exact"/>
        <w:ind w:firstLine="480" w:firstLineChars="200"/>
        <w:rPr>
          <w:sz w:val="24"/>
        </w:rPr>
      </w:pPr>
      <w:r>
        <w:rPr>
          <w:rFonts w:hint="eastAsia"/>
          <w:sz w:val="24"/>
          <w:lang w:val="en-US" w:eastAsia="zh-CN"/>
        </w:rPr>
        <w:t>2020</w:t>
      </w:r>
      <w:r>
        <w:rPr>
          <w:rFonts w:hint="eastAsia"/>
          <w:sz w:val="24"/>
        </w:rPr>
        <w:t>年</w:t>
      </w:r>
      <w:r>
        <w:rPr>
          <w:rFonts w:hint="eastAsia"/>
          <w:sz w:val="24"/>
          <w:lang w:val="en-US" w:eastAsia="zh-CN"/>
        </w:rPr>
        <w:t>7</w:t>
      </w:r>
      <w:r>
        <w:rPr>
          <w:rFonts w:hint="eastAsia"/>
          <w:sz w:val="24"/>
        </w:rPr>
        <w:t>月</w:t>
      </w:r>
      <w:r>
        <w:rPr>
          <w:rFonts w:hint="eastAsia"/>
          <w:sz w:val="24"/>
          <w:lang w:val="en-US" w:eastAsia="zh-CN"/>
        </w:rPr>
        <w:t>12</w:t>
      </w:r>
      <w:r>
        <w:rPr>
          <w:rFonts w:hint="eastAsia"/>
          <w:sz w:val="24"/>
        </w:rPr>
        <w:t>日，起草小组在</w:t>
      </w:r>
      <w:r>
        <w:rPr>
          <w:rFonts w:hint="eastAsia"/>
          <w:sz w:val="24"/>
          <w:lang w:val="en-US" w:eastAsia="zh-CN"/>
        </w:rPr>
        <w:t>北京</w:t>
      </w:r>
      <w:r>
        <w:rPr>
          <w:rFonts w:hint="eastAsia"/>
          <w:sz w:val="24"/>
        </w:rPr>
        <w:t>召开第一次工作会议暨标准修订启动会。</w:t>
      </w:r>
    </w:p>
    <w:p>
      <w:pPr>
        <w:spacing w:beforeLines="50" w:line="440" w:lineRule="exact"/>
        <w:ind w:firstLine="480" w:firstLineChars="200"/>
        <w:rPr>
          <w:sz w:val="24"/>
        </w:rPr>
      </w:pPr>
      <w:r>
        <w:rPr>
          <w:rFonts w:hint="eastAsia"/>
          <w:sz w:val="24"/>
        </w:rPr>
        <w:t>会上制定小组</w:t>
      </w:r>
      <w:r>
        <w:rPr>
          <w:sz w:val="24"/>
        </w:rPr>
        <w:t>分享了</w:t>
      </w:r>
      <w:r>
        <w:rPr>
          <w:rFonts w:hint="eastAsia"/>
          <w:sz w:val="24"/>
        </w:rPr>
        <w:t>收集整理</w:t>
      </w:r>
      <w:r>
        <w:rPr>
          <w:sz w:val="24"/>
        </w:rPr>
        <w:t>的</w:t>
      </w:r>
      <w:r>
        <w:rPr>
          <w:rFonts w:hint="eastAsia"/>
          <w:sz w:val="24"/>
        </w:rPr>
        <w:t>国内外相关标准和技术资料。并结合新材料和新技术及市场上产品所面临的技术问题进行了讨论。根据市场及消费者需求各参会人员一致认可增加沙发产品的有害物质限量检测要求、人体工效学检测要求，对其他技术要求也进行了讨论。该次会议内容主要探讨了以下几个方面内容：1）讨论标准制定框架及相关研究内容；2）讨论标准试验方案；3）部署编制工作。</w:t>
      </w:r>
    </w:p>
    <w:p>
      <w:pPr>
        <w:spacing w:beforeLines="50" w:line="440" w:lineRule="exact"/>
        <w:rPr>
          <w:b/>
          <w:sz w:val="24"/>
        </w:rPr>
      </w:pPr>
      <w:r>
        <w:rPr>
          <w:rFonts w:hint="eastAsia"/>
          <w:b/>
          <w:sz w:val="24"/>
        </w:rPr>
        <w:t>（3）标准第二次研讨会</w:t>
      </w:r>
    </w:p>
    <w:p>
      <w:pPr>
        <w:spacing w:beforeLines="50" w:line="440" w:lineRule="exact"/>
        <w:ind w:firstLine="420"/>
        <w:rPr>
          <w:rFonts w:hint="default" w:eastAsia="宋体"/>
          <w:sz w:val="24"/>
          <w:lang w:val="en-US" w:eastAsia="zh-CN"/>
        </w:rPr>
      </w:pPr>
      <w:r>
        <w:rPr>
          <w:rFonts w:hint="eastAsia"/>
          <w:sz w:val="24"/>
          <w:lang w:val="en-US" w:eastAsia="zh-CN"/>
        </w:rPr>
        <w:t>2021</w:t>
      </w:r>
      <w:r>
        <w:rPr>
          <w:rFonts w:hint="eastAsia"/>
          <w:sz w:val="24"/>
        </w:rPr>
        <w:t>年</w:t>
      </w:r>
      <w:r>
        <w:rPr>
          <w:rFonts w:hint="eastAsia"/>
          <w:sz w:val="24"/>
          <w:lang w:val="en-US" w:eastAsia="zh-CN"/>
        </w:rPr>
        <w:t>4</w:t>
      </w:r>
      <w:r>
        <w:rPr>
          <w:rFonts w:hint="eastAsia"/>
          <w:sz w:val="24"/>
        </w:rPr>
        <w:t>月</w:t>
      </w:r>
      <w:r>
        <w:rPr>
          <w:rFonts w:hint="eastAsia"/>
          <w:sz w:val="24"/>
          <w:lang w:val="en-US" w:eastAsia="zh-CN"/>
        </w:rPr>
        <w:t>15</w:t>
      </w:r>
      <w:r>
        <w:rPr>
          <w:rFonts w:hint="eastAsia"/>
          <w:sz w:val="24"/>
        </w:rPr>
        <w:t>日</w:t>
      </w:r>
      <w:r>
        <w:rPr>
          <w:sz w:val="24"/>
        </w:rPr>
        <w:t>，</w:t>
      </w:r>
      <w:r>
        <w:rPr>
          <w:rFonts w:hint="eastAsia"/>
          <w:sz w:val="24"/>
        </w:rPr>
        <w:t>团体标准制定研讨会在</w:t>
      </w:r>
      <w:r>
        <w:rPr>
          <w:rFonts w:hint="eastAsia"/>
          <w:sz w:val="24"/>
          <w:lang w:val="en-US" w:eastAsia="zh-CN"/>
        </w:rPr>
        <w:t>北京</w:t>
      </w:r>
      <w:r>
        <w:rPr>
          <w:rFonts w:hint="eastAsia"/>
          <w:sz w:val="24"/>
        </w:rPr>
        <w:t>召开。会上，首先北京质检院代表起草小组，介绍了本次制定的主要思想。在总结前期工作的基础上，与会专家、代表积极讨论，对该标准研制工作提出</w:t>
      </w:r>
      <w:r>
        <w:rPr>
          <w:rFonts w:hint="eastAsia"/>
          <w:sz w:val="24"/>
          <w:lang w:val="en-US" w:eastAsia="zh-CN"/>
        </w:rPr>
        <w:t>了相关建议。</w:t>
      </w:r>
    </w:p>
    <w:tbl>
      <w:tblPr>
        <w:tblStyle w:val="11"/>
        <w:tblW w:w="8841"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884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8" w:hRule="atLeast"/>
        </w:trPr>
        <w:tc>
          <w:tcPr>
            <w:tcW w:w="8841" w:type="dxa"/>
            <w:vAlign w:val="center"/>
          </w:tcPr>
          <w:p>
            <w:pPr>
              <w:adjustRightInd w:val="0"/>
              <w:snapToGrid w:val="0"/>
              <w:jc w:val="center"/>
              <w:rPr>
                <w:rFonts w:ascii="Calibri" w:hAnsi="Calibri"/>
                <w:sz w:val="18"/>
                <w:szCs w:val="18"/>
              </w:rPr>
            </w:pPr>
          </w:p>
          <w:p>
            <w:pPr>
              <w:adjustRightInd w:val="0"/>
              <w:snapToGrid w:val="0"/>
              <w:jc w:val="center"/>
              <w:rPr>
                <w:rFonts w:ascii="Calibri" w:hAnsi="Calibri"/>
                <w:sz w:val="24"/>
              </w:rPr>
            </w:pPr>
          </w:p>
        </w:tc>
      </w:tr>
    </w:tbl>
    <w:p>
      <w:pPr>
        <w:spacing w:beforeLines="50" w:line="440" w:lineRule="exact"/>
        <w:rPr>
          <w:b/>
          <w:sz w:val="24"/>
        </w:rPr>
      </w:pPr>
      <w:r>
        <w:rPr>
          <w:rFonts w:hint="eastAsia"/>
          <w:b/>
          <w:sz w:val="24"/>
        </w:rPr>
        <w:t>（4）整理实验数据完成</w:t>
      </w:r>
      <w:r>
        <w:rPr>
          <w:b/>
          <w:sz w:val="24"/>
        </w:rPr>
        <w:t>征求意见稿</w:t>
      </w:r>
    </w:p>
    <w:p>
      <w:pPr>
        <w:spacing w:beforeLines="50" w:line="440" w:lineRule="exact"/>
        <w:ind w:firstLine="480" w:firstLineChars="200"/>
        <w:rPr>
          <w:b/>
          <w:sz w:val="24"/>
        </w:rPr>
      </w:pPr>
      <w:r>
        <w:rPr>
          <w:rFonts w:hint="eastAsia"/>
          <w:sz w:val="24"/>
        </w:rPr>
        <w:t>2021年4月至7月，起草小组收集实验数据</w:t>
      </w:r>
      <w:r>
        <w:rPr>
          <w:sz w:val="24"/>
        </w:rPr>
        <w:t>，经多次沟通，不断完善修改</w:t>
      </w:r>
      <w:r>
        <w:rPr>
          <w:rFonts w:hint="eastAsia"/>
          <w:sz w:val="24"/>
        </w:rPr>
        <w:t>，</w:t>
      </w:r>
      <w:r>
        <w:rPr>
          <w:sz w:val="24"/>
        </w:rPr>
        <w:t>形成征求意见稿。</w:t>
      </w:r>
    </w:p>
    <w:p>
      <w:pPr>
        <w:spacing w:beforeLines="50" w:afterLines="50" w:line="440" w:lineRule="exact"/>
        <w:rPr>
          <w:b/>
          <w:bCs/>
          <w:sz w:val="24"/>
        </w:rPr>
      </w:pPr>
      <w:r>
        <w:rPr>
          <w:b/>
          <w:bCs/>
          <w:sz w:val="24"/>
        </w:rPr>
        <w:t>二</w:t>
      </w:r>
      <w:r>
        <w:rPr>
          <w:rFonts w:hint="eastAsia"/>
          <w:b/>
          <w:bCs/>
          <w:sz w:val="24"/>
        </w:rPr>
        <w:t>、</w:t>
      </w:r>
      <w:r>
        <w:rPr>
          <w:b/>
          <w:bCs/>
          <w:sz w:val="24"/>
        </w:rPr>
        <w:t>标准的</w:t>
      </w:r>
      <w:r>
        <w:rPr>
          <w:rFonts w:hint="eastAsia"/>
          <w:b/>
          <w:bCs/>
          <w:sz w:val="24"/>
        </w:rPr>
        <w:t>编制原则和标准的主要内容</w:t>
      </w:r>
    </w:p>
    <w:p>
      <w:pPr>
        <w:spacing w:line="440" w:lineRule="exact"/>
        <w:rPr>
          <w:b/>
          <w:sz w:val="24"/>
        </w:rPr>
      </w:pPr>
      <w:r>
        <w:rPr>
          <w:rFonts w:hint="eastAsia"/>
          <w:b/>
          <w:sz w:val="24"/>
        </w:rPr>
        <w:t>1、标准的编制原则</w:t>
      </w:r>
    </w:p>
    <w:p>
      <w:pPr>
        <w:spacing w:line="360" w:lineRule="auto"/>
        <w:ind w:firstLine="480" w:firstLineChars="200"/>
        <w:rPr>
          <w:sz w:val="24"/>
        </w:rPr>
      </w:pPr>
      <w:r>
        <w:rPr>
          <w:rFonts w:hint="eastAsia" w:hAnsi="宋体"/>
          <w:sz w:val="24"/>
        </w:rPr>
        <w:t>标准编制的内容具有科学性、适用性、实用性、先进性。规定的产品的功能尺寸、人体工效学、产品用料一致性、外观要求、表面涂层理化性能、覆面材料理化性能、安全性能等内容符合家具市场发展需要，各项目要求紧跟家具行业发展的技术需求。</w:t>
      </w:r>
    </w:p>
    <w:p>
      <w:pPr>
        <w:spacing w:line="440" w:lineRule="exact"/>
        <w:rPr>
          <w:b/>
          <w:sz w:val="24"/>
        </w:rPr>
      </w:pPr>
      <w:r>
        <w:rPr>
          <w:rFonts w:hint="eastAsia"/>
          <w:b/>
          <w:sz w:val="24"/>
        </w:rPr>
        <w:t>2、标准制定的主要技术内容</w:t>
      </w:r>
    </w:p>
    <w:p>
      <w:pPr>
        <w:spacing w:line="360" w:lineRule="auto"/>
        <w:ind w:firstLine="480" w:firstLineChars="200"/>
        <w:rPr>
          <w:rFonts w:hAnsi="宋体"/>
          <w:sz w:val="24"/>
        </w:rPr>
      </w:pPr>
      <w:r>
        <w:rPr>
          <w:rFonts w:hAnsi="宋体"/>
          <w:sz w:val="24"/>
        </w:rPr>
        <w:t>标准起草小组根据</w:t>
      </w:r>
      <w:r>
        <w:rPr>
          <w:sz w:val="24"/>
        </w:rPr>
        <w:t>GB/T1.1-2</w:t>
      </w:r>
      <w:r>
        <w:rPr>
          <w:rFonts w:hint="eastAsia"/>
          <w:sz w:val="24"/>
        </w:rPr>
        <w:t>020</w:t>
      </w:r>
      <w:r>
        <w:rPr>
          <w:rFonts w:hAnsi="宋体"/>
          <w:sz w:val="24"/>
        </w:rPr>
        <w:t>《标准化工作导则第</w:t>
      </w:r>
      <w:r>
        <w:rPr>
          <w:sz w:val="24"/>
        </w:rPr>
        <w:t>1</w:t>
      </w:r>
      <w:r>
        <w:rPr>
          <w:rFonts w:hAnsi="宋体"/>
          <w:sz w:val="24"/>
        </w:rPr>
        <w:t>部分：标准的结构和编写》编制标准草案。标准草案共</w:t>
      </w:r>
      <w:r>
        <w:rPr>
          <w:sz w:val="24"/>
        </w:rPr>
        <w:t>8</w:t>
      </w:r>
      <w:r>
        <w:rPr>
          <w:rFonts w:hAnsi="宋体"/>
          <w:sz w:val="24"/>
        </w:rPr>
        <w:t>章，包括范围、规范性引用文件、术语和定义、产品分类</w:t>
      </w:r>
      <w:r>
        <w:rPr>
          <w:rFonts w:hint="eastAsia" w:hAnsi="宋体"/>
          <w:sz w:val="24"/>
        </w:rPr>
        <w:t>和分级</w:t>
      </w:r>
      <w:r>
        <w:rPr>
          <w:rFonts w:hAnsi="宋体"/>
          <w:sz w:val="24"/>
        </w:rPr>
        <w:t>、要求、试验方法、检验规则、标志、</w:t>
      </w:r>
      <w:r>
        <w:rPr>
          <w:rFonts w:hint="eastAsia" w:hAnsi="宋体"/>
          <w:sz w:val="24"/>
        </w:rPr>
        <w:t>使用说明、</w:t>
      </w:r>
      <w:r>
        <w:rPr>
          <w:rFonts w:hAnsi="宋体"/>
          <w:sz w:val="24"/>
        </w:rPr>
        <w:t>包装、运输、贮存。下面就本次</w:t>
      </w:r>
      <w:r>
        <w:rPr>
          <w:rFonts w:hint="eastAsia" w:hAnsi="宋体"/>
          <w:sz w:val="24"/>
        </w:rPr>
        <w:t>制定</w:t>
      </w:r>
      <w:r>
        <w:rPr>
          <w:rFonts w:hAnsi="宋体"/>
          <w:sz w:val="24"/>
        </w:rPr>
        <w:t>工作中的主要</w:t>
      </w:r>
      <w:r>
        <w:rPr>
          <w:rFonts w:hint="eastAsia" w:hAnsi="宋体"/>
          <w:sz w:val="24"/>
        </w:rPr>
        <w:t>制定</w:t>
      </w:r>
      <w:r>
        <w:rPr>
          <w:rFonts w:hAnsi="宋体"/>
          <w:sz w:val="24"/>
        </w:rPr>
        <w:t>内容进行说明。</w:t>
      </w:r>
    </w:p>
    <w:p>
      <w:pPr>
        <w:spacing w:beforeLines="50" w:line="440" w:lineRule="exact"/>
        <w:ind w:firstLine="480"/>
        <w:rPr>
          <w:rFonts w:hAnsi="宋体"/>
          <w:sz w:val="24"/>
        </w:rPr>
      </w:pPr>
      <w:r>
        <w:rPr>
          <w:rFonts w:hint="eastAsia" w:hAnsi="宋体"/>
          <w:sz w:val="24"/>
        </w:rPr>
        <w:t>（1）现行标准</w:t>
      </w:r>
      <w:r>
        <w:rPr>
          <w:rFonts w:hint="eastAsia"/>
          <w:sz w:val="24"/>
        </w:rPr>
        <w:t>QB/T1952.1-2012《软体家具沙发》、QB/T</w:t>
      </w:r>
      <w:r>
        <w:rPr>
          <w:sz w:val="24"/>
        </w:rPr>
        <w:t xml:space="preserve"> 4462</w:t>
      </w:r>
      <w:r>
        <w:rPr>
          <w:rFonts w:hint="eastAsia"/>
          <w:sz w:val="24"/>
        </w:rPr>
        <w:t>-201</w:t>
      </w:r>
      <w:r>
        <w:rPr>
          <w:sz w:val="24"/>
        </w:rPr>
        <w:t>3</w:t>
      </w:r>
      <w:r>
        <w:rPr>
          <w:rFonts w:hint="eastAsia"/>
          <w:sz w:val="24"/>
        </w:rPr>
        <w:t>《软体家具手动折叠沙发》、QB/T</w:t>
      </w:r>
      <w:r>
        <w:rPr>
          <w:sz w:val="24"/>
        </w:rPr>
        <w:t xml:space="preserve"> 4768</w:t>
      </w:r>
      <w:r>
        <w:rPr>
          <w:rFonts w:hint="eastAsia"/>
          <w:sz w:val="24"/>
        </w:rPr>
        <w:t>-201</w:t>
      </w:r>
      <w:r>
        <w:rPr>
          <w:sz w:val="24"/>
        </w:rPr>
        <w:t>4</w:t>
      </w:r>
      <w:r>
        <w:rPr>
          <w:rFonts w:hint="eastAsia"/>
          <w:sz w:val="24"/>
        </w:rPr>
        <w:t>《沙发床》</w:t>
      </w:r>
      <w:r>
        <w:rPr>
          <w:rFonts w:hint="eastAsia" w:hAnsi="宋体"/>
          <w:sz w:val="24"/>
        </w:rPr>
        <w:t>沙发类产品标准分别已实施8年、7年、6年时间，标准中引用的部分试验方法标准及原辅材料产品标准均有了较大改变，同时沙发产品设计、加工的变化使得新材料、新工艺的标准体系也逐步纳入到新的沙发产品标准中来。同时由于新的检验要求的引入，增加了相关方法标准。</w:t>
      </w:r>
    </w:p>
    <w:p>
      <w:pPr>
        <w:spacing w:line="440" w:lineRule="exact"/>
        <w:ind w:firstLine="424" w:firstLineChars="177"/>
        <w:rPr>
          <w:sz w:val="24"/>
        </w:rPr>
      </w:pPr>
      <w:r>
        <w:rPr>
          <w:rFonts w:hint="eastAsia"/>
          <w:sz w:val="24"/>
        </w:rPr>
        <w:t>（2）术语和定义</w:t>
      </w:r>
    </w:p>
    <w:p>
      <w:pPr>
        <w:spacing w:line="440" w:lineRule="exact"/>
        <w:ind w:firstLine="424" w:firstLineChars="177"/>
        <w:rPr>
          <w:sz w:val="24"/>
        </w:rPr>
      </w:pPr>
      <w:r>
        <w:rPr>
          <w:rFonts w:hint="eastAsia"/>
          <w:sz w:val="24"/>
        </w:rPr>
        <w:t>GB/T 28202-2020、GB/T 39223.6-2020、QB/T 1952.1-2012、QB/T 4462-2013和QB/T 4768-2014 界定的术语和定义适用于本标准。覆面材料增加了人工革和再生皮，定义如下：</w:t>
      </w:r>
    </w:p>
    <w:p>
      <w:pPr>
        <w:spacing w:line="360" w:lineRule="auto"/>
        <w:ind w:firstLine="480" w:firstLineChars="200"/>
        <w:rPr>
          <w:rFonts w:hAnsi="宋体"/>
          <w:kern w:val="0"/>
          <w:sz w:val="24"/>
        </w:rPr>
      </w:pPr>
      <w:r>
        <w:rPr>
          <w:rFonts w:hAnsi="宋体"/>
          <w:kern w:val="0"/>
          <w:sz w:val="24"/>
        </w:rPr>
        <w:t>2</w:t>
      </w:r>
      <w:r>
        <w:rPr>
          <w:rFonts w:hint="eastAsia" w:hAnsi="宋体"/>
          <w:kern w:val="0"/>
          <w:sz w:val="24"/>
        </w:rPr>
        <w:t>.1 人工革</w:t>
      </w:r>
    </w:p>
    <w:p>
      <w:pPr>
        <w:pStyle w:val="16"/>
        <w:tabs>
          <w:tab w:val="center" w:pos="4201"/>
          <w:tab w:val="right" w:leader="dot" w:pos="9298"/>
        </w:tabs>
        <w:spacing w:line="360" w:lineRule="auto"/>
        <w:ind w:firstLine="480"/>
        <w:rPr>
          <w:rFonts w:ascii="Times New Roman" w:hAnsi="宋体"/>
          <w:sz w:val="24"/>
          <w:szCs w:val="24"/>
        </w:rPr>
      </w:pPr>
      <w:r>
        <w:rPr>
          <w:rFonts w:hint="eastAsia" w:ascii="Times New Roman" w:hAnsi="宋体"/>
          <w:sz w:val="24"/>
          <w:szCs w:val="24"/>
        </w:rPr>
        <w:t>人工合成的动物皮革代用品的统称，由涂层和织物基材组成，包括人造革、合成革，不包括以动物皮革为基材的覆膜皮革。[GB/T 30695-2014，定义3.1]</w:t>
      </w:r>
    </w:p>
    <w:p>
      <w:pPr>
        <w:pStyle w:val="16"/>
        <w:tabs>
          <w:tab w:val="center" w:pos="4201"/>
          <w:tab w:val="right" w:leader="dot" w:pos="9298"/>
        </w:tabs>
        <w:spacing w:line="360" w:lineRule="auto"/>
        <w:ind w:firstLine="480"/>
        <w:rPr>
          <w:rFonts w:ascii="Times New Roman" w:hAnsi="宋体"/>
          <w:sz w:val="24"/>
          <w:szCs w:val="24"/>
        </w:rPr>
      </w:pPr>
      <w:r>
        <w:rPr>
          <w:rFonts w:ascii="Times New Roman" w:hAnsi="宋体"/>
          <w:sz w:val="24"/>
          <w:szCs w:val="24"/>
        </w:rPr>
        <w:t>2</w:t>
      </w:r>
      <w:r>
        <w:rPr>
          <w:rFonts w:hint="eastAsia" w:ascii="Times New Roman" w:hAnsi="宋体"/>
          <w:sz w:val="24"/>
          <w:szCs w:val="24"/>
        </w:rPr>
        <w:t>.2 再生皮（革）</w:t>
      </w:r>
    </w:p>
    <w:p>
      <w:pPr>
        <w:pStyle w:val="16"/>
        <w:tabs>
          <w:tab w:val="center" w:pos="4201"/>
          <w:tab w:val="right" w:leader="dot" w:pos="9298"/>
        </w:tabs>
        <w:ind w:firstLine="480"/>
      </w:pPr>
      <w:r>
        <w:rPr>
          <w:rFonts w:hint="eastAsia" w:ascii="Times New Roman" w:hAnsi="宋体"/>
          <w:sz w:val="24"/>
          <w:szCs w:val="24"/>
        </w:rPr>
        <w:t>将皮革的边角碎料撕磨成纤维，再由粘合剂以机械物理状态粘结，经挤压呈片状，再经剖层、磨面、表面涂饰等加工而成的皮革代用品。</w:t>
      </w:r>
      <w:r>
        <w:rPr>
          <w:rFonts w:hint="eastAsia"/>
        </w:rPr>
        <w:t>[GB/T 30695-2014，定义3.6]</w:t>
      </w:r>
    </w:p>
    <w:p>
      <w:pPr>
        <w:numPr>
          <w:ilvl w:val="0"/>
          <w:numId w:val="4"/>
        </w:numPr>
        <w:spacing w:line="440" w:lineRule="exact"/>
        <w:ind w:firstLine="424" w:firstLineChars="177"/>
        <w:rPr>
          <w:sz w:val="24"/>
        </w:rPr>
      </w:pPr>
      <w:r>
        <w:rPr>
          <w:rFonts w:hint="eastAsia"/>
          <w:sz w:val="24"/>
        </w:rPr>
        <w:t>产品分类和分级</w:t>
      </w:r>
    </w:p>
    <w:p>
      <w:pPr>
        <w:spacing w:line="440" w:lineRule="exact"/>
        <w:ind w:firstLine="480"/>
        <w:rPr>
          <w:rFonts w:hAnsi="宋体"/>
          <w:kern w:val="0"/>
          <w:sz w:val="24"/>
        </w:rPr>
      </w:pPr>
      <w:r>
        <w:rPr>
          <w:rFonts w:hAnsi="宋体"/>
          <w:kern w:val="0"/>
          <w:sz w:val="24"/>
        </w:rPr>
        <w:t xml:space="preserve">3.1 </w:t>
      </w:r>
      <w:r>
        <w:rPr>
          <w:rFonts w:hint="eastAsia" w:hAnsi="宋体"/>
          <w:kern w:val="0"/>
          <w:sz w:val="24"/>
        </w:rPr>
        <w:t>QB</w:t>
      </w:r>
      <w:r>
        <w:rPr>
          <w:rFonts w:hAnsi="宋体"/>
          <w:kern w:val="0"/>
          <w:sz w:val="24"/>
        </w:rPr>
        <w:t>/T 1952.1-2012</w:t>
      </w:r>
      <w:r>
        <w:rPr>
          <w:rFonts w:hint="eastAsia" w:hAnsi="宋体"/>
          <w:kern w:val="0"/>
          <w:sz w:val="24"/>
        </w:rPr>
        <w:t>、QB</w:t>
      </w:r>
      <w:r>
        <w:rPr>
          <w:rFonts w:hAnsi="宋体"/>
          <w:kern w:val="0"/>
          <w:sz w:val="24"/>
        </w:rPr>
        <w:t>/T 4462-2013</w:t>
      </w:r>
      <w:r>
        <w:rPr>
          <w:rFonts w:hint="eastAsia" w:hAnsi="宋体"/>
          <w:kern w:val="0"/>
          <w:sz w:val="24"/>
        </w:rPr>
        <w:t>和QB</w:t>
      </w:r>
      <w:r>
        <w:rPr>
          <w:rFonts w:hAnsi="宋体"/>
          <w:kern w:val="0"/>
          <w:sz w:val="24"/>
        </w:rPr>
        <w:t xml:space="preserve">/T 4768-2014 </w:t>
      </w:r>
      <w:r>
        <w:rPr>
          <w:rFonts w:hint="eastAsia" w:hAnsi="宋体"/>
          <w:kern w:val="0"/>
          <w:sz w:val="24"/>
        </w:rPr>
        <w:t>界定</w:t>
      </w:r>
      <w:r>
        <w:rPr>
          <w:rFonts w:hAnsi="宋体"/>
          <w:kern w:val="0"/>
          <w:sz w:val="24"/>
        </w:rPr>
        <w:t>的</w:t>
      </w:r>
      <w:r>
        <w:rPr>
          <w:rFonts w:hint="eastAsia" w:hAnsi="宋体"/>
          <w:kern w:val="0"/>
          <w:sz w:val="24"/>
        </w:rPr>
        <w:t>产品分类</w:t>
      </w:r>
      <w:r>
        <w:rPr>
          <w:rFonts w:hAnsi="宋体"/>
          <w:kern w:val="0"/>
          <w:sz w:val="24"/>
        </w:rPr>
        <w:t>适用于</w:t>
      </w:r>
      <w:r>
        <w:rPr>
          <w:rFonts w:hint="eastAsia" w:hAnsi="宋体"/>
          <w:kern w:val="0"/>
          <w:sz w:val="24"/>
        </w:rPr>
        <w:t>本</w:t>
      </w:r>
      <w:r>
        <w:rPr>
          <w:rFonts w:hAnsi="宋体"/>
          <w:kern w:val="0"/>
          <w:sz w:val="24"/>
        </w:rPr>
        <w:t>标准</w:t>
      </w:r>
      <w:r>
        <w:rPr>
          <w:rFonts w:hint="eastAsia" w:hAnsi="宋体"/>
          <w:kern w:val="0"/>
          <w:sz w:val="24"/>
        </w:rPr>
        <w:t>。</w:t>
      </w:r>
    </w:p>
    <w:p>
      <w:pPr>
        <w:spacing w:line="440" w:lineRule="exact"/>
        <w:ind w:firstLine="480"/>
        <w:rPr>
          <w:rFonts w:hAnsi="宋体"/>
          <w:kern w:val="0"/>
          <w:sz w:val="24"/>
        </w:rPr>
      </w:pPr>
      <w:r>
        <w:rPr>
          <w:rFonts w:hint="eastAsia" w:hAnsi="宋体"/>
          <w:kern w:val="0"/>
          <w:sz w:val="24"/>
        </w:rPr>
        <w:t>3</w:t>
      </w:r>
      <w:r>
        <w:rPr>
          <w:rFonts w:hAnsi="宋体"/>
          <w:kern w:val="0"/>
          <w:sz w:val="24"/>
        </w:rPr>
        <w:t xml:space="preserve">.2 </w:t>
      </w:r>
      <w:r>
        <w:rPr>
          <w:rFonts w:hint="eastAsia"/>
          <w:sz w:val="24"/>
        </w:rPr>
        <w:t>按照不同质量分级评定，产品分为：☆☆☆☆☆（五星）、☆☆☆☆（四星）、☆☆☆（三星）、☆☆（二星）、☆（一星）等级。</w:t>
      </w:r>
    </w:p>
    <w:p>
      <w:pPr>
        <w:numPr>
          <w:ilvl w:val="0"/>
          <w:numId w:val="4"/>
        </w:numPr>
        <w:spacing w:line="440" w:lineRule="exact"/>
        <w:ind w:firstLine="424" w:firstLineChars="177"/>
        <w:rPr>
          <w:sz w:val="24"/>
        </w:rPr>
      </w:pPr>
      <w:r>
        <w:rPr>
          <w:rFonts w:hint="eastAsia"/>
          <w:sz w:val="24"/>
        </w:rPr>
        <w:t>本标准要求如下：</w:t>
      </w:r>
    </w:p>
    <w:p>
      <w:pPr>
        <w:spacing w:line="440" w:lineRule="exact"/>
        <w:ind w:firstLine="480" w:firstLineChars="200"/>
        <w:rPr>
          <w:sz w:val="24"/>
        </w:rPr>
      </w:pPr>
      <w:r>
        <w:rPr>
          <w:rFonts w:hint="eastAsia"/>
          <w:sz w:val="24"/>
        </w:rPr>
        <w:t>由于产品质量分级的需要，规定了基本项目、一般项目、体验评价和分级项目，分级项目按照不同规定参数要求，分为A级、B级、C级。</w:t>
      </w:r>
    </w:p>
    <w:p>
      <w:pPr>
        <w:spacing w:line="440" w:lineRule="exact"/>
        <w:ind w:firstLine="480" w:firstLineChars="200"/>
        <w:rPr>
          <w:sz w:val="24"/>
        </w:rPr>
      </w:pPr>
      <w:r>
        <w:rPr>
          <w:rFonts w:hint="eastAsia"/>
          <w:sz w:val="24"/>
        </w:rPr>
        <w:t>本标准检验项目主要参考了现行沙发类产品标准QB/T1952.1-2012《软体家具沙发》、QB/T</w:t>
      </w:r>
      <w:r>
        <w:rPr>
          <w:sz w:val="24"/>
        </w:rPr>
        <w:t xml:space="preserve"> 4462</w:t>
      </w:r>
      <w:r>
        <w:rPr>
          <w:rFonts w:hint="eastAsia"/>
          <w:sz w:val="24"/>
        </w:rPr>
        <w:t>-201</w:t>
      </w:r>
      <w:r>
        <w:rPr>
          <w:sz w:val="24"/>
        </w:rPr>
        <w:t>3</w:t>
      </w:r>
      <w:r>
        <w:rPr>
          <w:rFonts w:hint="eastAsia"/>
          <w:sz w:val="24"/>
        </w:rPr>
        <w:t xml:space="preserve"> 《软体家具手动折叠沙发》和QB/T</w:t>
      </w:r>
      <w:r>
        <w:rPr>
          <w:sz w:val="24"/>
        </w:rPr>
        <w:t xml:space="preserve"> 4768</w:t>
      </w:r>
      <w:r>
        <w:rPr>
          <w:rFonts w:hint="eastAsia"/>
          <w:sz w:val="24"/>
        </w:rPr>
        <w:t>-201</w:t>
      </w:r>
      <w:r>
        <w:rPr>
          <w:sz w:val="24"/>
        </w:rPr>
        <w:t>4</w:t>
      </w:r>
      <w:r>
        <w:rPr>
          <w:rFonts w:hint="eastAsia"/>
          <w:sz w:val="24"/>
        </w:rPr>
        <w:t>《沙发床》，在其基础上增加了一些项目，调整优化了个别项目，具体如下：</w:t>
      </w:r>
    </w:p>
    <w:p>
      <w:pPr>
        <w:spacing w:line="440" w:lineRule="exact"/>
        <w:ind w:firstLine="480" w:firstLineChars="200"/>
        <w:rPr>
          <w:sz w:val="24"/>
        </w:rPr>
      </w:pPr>
      <w:r>
        <w:rPr>
          <w:rFonts w:hint="eastAsia"/>
          <w:sz w:val="24"/>
        </w:rPr>
        <w:t>4.1主要尺寸增加了座面倾角和靠背倾角要求；调整座前宽和座深为分级项目；同为坐具，主要尺寸的测试方法采用办公椅CMD测量系统进行测量。</w:t>
      </w:r>
    </w:p>
    <w:p>
      <w:pPr>
        <w:spacing w:line="440" w:lineRule="exact"/>
        <w:ind w:firstLine="480" w:firstLineChars="200"/>
        <w:rPr>
          <w:sz w:val="24"/>
        </w:rPr>
      </w:pPr>
      <w:r>
        <w:rPr>
          <w:rFonts w:hint="eastAsia"/>
          <w:sz w:val="24"/>
        </w:rPr>
        <w:t>4.2 增加了人类工效学要求和测试方法，具体项目有：</w:t>
      </w:r>
    </w:p>
    <w:p>
      <w:pPr>
        <w:spacing w:line="440" w:lineRule="exact"/>
        <w:ind w:left="372" w:leftChars="177" w:firstLine="528" w:firstLineChars="220"/>
        <w:rPr>
          <w:sz w:val="24"/>
        </w:rPr>
      </w:pPr>
      <w:r>
        <w:rPr>
          <w:rFonts w:hint="eastAsia"/>
          <w:sz w:val="24"/>
        </w:rPr>
        <w:t>1）分级项目，尺寸要求：沙发靠背；</w:t>
      </w:r>
    </w:p>
    <w:p>
      <w:pPr>
        <w:spacing w:line="440" w:lineRule="exact"/>
        <w:ind w:left="372" w:leftChars="177" w:firstLine="528" w:firstLineChars="220"/>
        <w:rPr>
          <w:sz w:val="24"/>
        </w:rPr>
      </w:pPr>
      <w:r>
        <w:rPr>
          <w:rFonts w:hint="eastAsia"/>
          <w:sz w:val="24"/>
        </w:rPr>
        <w:t>2）基本项目，尺寸要求：扶手；</w:t>
      </w:r>
    </w:p>
    <w:p>
      <w:pPr>
        <w:spacing w:line="440" w:lineRule="exact"/>
        <w:ind w:left="372" w:leftChars="177" w:firstLine="528" w:firstLineChars="220"/>
        <w:rPr>
          <w:sz w:val="24"/>
        </w:rPr>
      </w:pPr>
      <w:r>
        <w:rPr>
          <w:rFonts w:hint="eastAsia"/>
          <w:sz w:val="24"/>
        </w:rPr>
        <w:t>3）一般项目，体压分布要求；</w:t>
      </w:r>
    </w:p>
    <w:p>
      <w:pPr>
        <w:spacing w:line="440" w:lineRule="exact"/>
        <w:ind w:firstLine="840" w:firstLineChars="350"/>
        <w:rPr>
          <w:sz w:val="24"/>
        </w:rPr>
      </w:pPr>
      <w:r>
        <w:rPr>
          <w:rFonts w:hint="eastAsia"/>
          <w:sz w:val="24"/>
        </w:rPr>
        <w:t>4）体验评价，其他工效学要求：接触面软硬度、接触面触感、结构形状、外观安全、声响、气味。</w:t>
      </w:r>
    </w:p>
    <w:p>
      <w:pPr>
        <w:spacing w:line="440" w:lineRule="exact"/>
        <w:ind w:firstLine="480" w:firstLineChars="200"/>
        <w:rPr>
          <w:sz w:val="24"/>
        </w:rPr>
      </w:pPr>
      <w:r>
        <w:rPr>
          <w:rFonts w:hint="eastAsia"/>
          <w:sz w:val="24"/>
        </w:rPr>
        <w:t>4.3考虑到消费者对覆面材料材质和实木材料的关注，在产品用料、加工要求/用料一致性项目中明确了皮革和实木的鉴别方法；项目金属件/（各种管材或异形管材，其受力部件的管壁厚度）、泡沫塑料/座面密度、泡沫塑料/其他部位密度调整为分级项目。</w:t>
      </w:r>
    </w:p>
    <w:p>
      <w:pPr>
        <w:spacing w:line="440" w:lineRule="exact"/>
        <w:ind w:firstLine="480" w:firstLineChars="200"/>
        <w:rPr>
          <w:sz w:val="24"/>
        </w:rPr>
      </w:pPr>
      <w:r>
        <w:rPr>
          <w:rFonts w:hint="eastAsia"/>
          <w:sz w:val="24"/>
        </w:rPr>
        <w:t>4.4 理化性能/覆面材料理化性能要求增加了纺织面料起毛起球、pH值的要求和试验方法；增加了皮革耐磨性、pH值的要求和试验方法；增加了人工革摩擦色牢度的要求和试验方法。</w:t>
      </w:r>
    </w:p>
    <w:p>
      <w:pPr>
        <w:spacing w:line="440" w:lineRule="exact"/>
        <w:ind w:firstLine="480" w:firstLineChars="200"/>
        <w:rPr>
          <w:sz w:val="24"/>
        </w:rPr>
      </w:pPr>
      <w:r>
        <w:rPr>
          <w:rFonts w:hint="eastAsia"/>
          <w:sz w:val="24"/>
        </w:rPr>
        <w:t>4.5 安全性能增加了有害物质限量/产品中有害物质限量、甲醛释放量、总挥发性有机化合物（TVOC）、纺织品（可分解芳香胺染料）、皮革（可分解芳香胺染料）要求和试验方法。</w:t>
      </w:r>
    </w:p>
    <w:p>
      <w:pPr>
        <w:spacing w:line="440" w:lineRule="exact"/>
        <w:ind w:firstLine="480" w:firstLineChars="200"/>
        <w:rPr>
          <w:sz w:val="24"/>
        </w:rPr>
      </w:pPr>
      <w:r>
        <w:rPr>
          <w:rFonts w:hint="eastAsia"/>
          <w:sz w:val="24"/>
        </w:rPr>
        <w:t>4.6考虑到智能产品和电动产品的增多，本标准增加了电器元器件安全性能和电磁兼容的要求和试验方法。</w:t>
      </w:r>
    </w:p>
    <w:p>
      <w:pPr>
        <w:spacing w:beforeLines="50" w:afterLines="50" w:line="440" w:lineRule="exact"/>
        <w:rPr>
          <w:b/>
          <w:bCs/>
          <w:sz w:val="24"/>
        </w:rPr>
      </w:pPr>
      <w:r>
        <w:rPr>
          <w:b/>
          <w:bCs/>
          <w:sz w:val="24"/>
        </w:rPr>
        <w:t>三</w:t>
      </w:r>
      <w:r>
        <w:rPr>
          <w:rFonts w:hint="eastAsia"/>
          <w:b/>
          <w:bCs/>
          <w:sz w:val="24"/>
        </w:rPr>
        <w:t>、</w:t>
      </w:r>
      <w:r>
        <w:rPr>
          <w:b/>
          <w:bCs/>
          <w:sz w:val="24"/>
        </w:rPr>
        <w:t>试验与验证</w:t>
      </w:r>
    </w:p>
    <w:p>
      <w:pPr>
        <w:pStyle w:val="16"/>
        <w:spacing w:line="440" w:lineRule="exact"/>
        <w:ind w:firstLine="480"/>
        <w:rPr>
          <w:rFonts w:ascii="Times New Roman"/>
          <w:kern w:val="2"/>
          <w:sz w:val="24"/>
          <w:szCs w:val="24"/>
        </w:rPr>
      </w:pPr>
      <w:r>
        <w:rPr>
          <w:rFonts w:hint="eastAsia" w:ascii="Times New Roman"/>
          <w:kern w:val="2"/>
          <w:sz w:val="24"/>
          <w:szCs w:val="24"/>
        </w:rPr>
        <w:t>测量方法改变的检验项目有主要尺寸要求里的座深、座高的测量。增加的检验项目有：1）主要尺寸相关的座面倾角、靠背倾角、沙发靠背、扶手要求和试验方法；2）覆面材料理化性能皮革摩擦色牢度/湿擦、碱性汗液、皮革耐磨性，人造革摩擦色牢度/干擦、湿擦、碱性汗液，纺织面料起毛起球要求和试验方法；3）力学性能中的</w:t>
      </w:r>
      <w:r>
        <w:rPr>
          <w:rFonts w:ascii="Times New Roman"/>
          <w:kern w:val="2"/>
          <w:sz w:val="24"/>
          <w:szCs w:val="24"/>
        </w:rPr>
        <w:t>背松动量、背剩余松动量测量方法</w:t>
      </w:r>
      <w:r>
        <w:rPr>
          <w:rFonts w:hint="eastAsia" w:ascii="Times New Roman"/>
          <w:kern w:val="2"/>
          <w:sz w:val="24"/>
          <w:szCs w:val="24"/>
        </w:rPr>
        <w:t>。具体如下：</w:t>
      </w:r>
    </w:p>
    <w:p>
      <w:pPr>
        <w:pStyle w:val="16"/>
        <w:spacing w:line="440" w:lineRule="exact"/>
        <w:ind w:firstLine="482"/>
        <w:rPr>
          <w:rFonts w:ascii="Times New Roman"/>
          <w:b/>
          <w:kern w:val="2"/>
          <w:sz w:val="24"/>
          <w:szCs w:val="24"/>
        </w:rPr>
      </w:pPr>
      <w:r>
        <w:rPr>
          <w:rFonts w:hint="eastAsia" w:ascii="Times New Roman"/>
          <w:b/>
          <w:kern w:val="2"/>
          <w:sz w:val="24"/>
          <w:szCs w:val="24"/>
        </w:rPr>
        <w:t>1、座深、座高、座面倾角、靠背倾角、沙发靠背、扶手的测量</w:t>
      </w:r>
    </w:p>
    <w:p>
      <w:pPr>
        <w:pStyle w:val="16"/>
        <w:spacing w:line="440" w:lineRule="exact"/>
        <w:ind w:firstLine="480"/>
        <w:rPr>
          <w:rFonts w:hint="eastAsia" w:ascii="Times New Roman"/>
          <w:kern w:val="2"/>
          <w:sz w:val="24"/>
          <w:szCs w:val="24"/>
        </w:rPr>
      </w:pPr>
      <w:r>
        <w:rPr>
          <w:rFonts w:hint="eastAsia" w:ascii="Times New Roman"/>
          <w:kern w:val="2"/>
          <w:sz w:val="24"/>
          <w:szCs w:val="24"/>
        </w:rPr>
        <w:t>（1）</w:t>
      </w:r>
      <w:r>
        <w:rPr>
          <w:rFonts w:ascii="Times New Roman"/>
          <w:kern w:val="2"/>
          <w:sz w:val="24"/>
          <w:szCs w:val="24"/>
        </w:rPr>
        <w:t xml:space="preserve"> </w:t>
      </w:r>
      <w:r>
        <w:rPr>
          <w:rFonts w:hint="eastAsia" w:ascii="Times New Roman"/>
          <w:kern w:val="2"/>
          <w:sz w:val="24"/>
          <w:szCs w:val="24"/>
        </w:rPr>
        <w:t>采用CMD测量装置进行测量，CMD测量装置应符合GB/T 38733-2020的规定。CMD测量装置（图1）。</w:t>
      </w:r>
    </w:p>
    <w:p>
      <w:pPr>
        <w:pStyle w:val="16"/>
        <w:ind w:firstLine="0" w:firstLineChars="0"/>
        <w:rPr>
          <w:rFonts w:ascii="Times New Roman"/>
        </w:rPr>
      </w:pPr>
    </w:p>
    <w:p>
      <w:pPr>
        <w:pStyle w:val="16"/>
        <w:ind w:firstLine="0" w:firstLineChars="0"/>
        <w:jc w:val="center"/>
        <w:rPr>
          <w:rFonts w:ascii="Times New Roman"/>
        </w:rPr>
      </w:pPr>
      <w:r>
        <w:rPr>
          <w:rFonts w:hint="eastAsia" w:ascii="Times New Roman"/>
        </w:rPr>
        <w:drawing>
          <wp:inline distT="0" distB="0" distL="114300" distR="114300">
            <wp:extent cx="2437765" cy="1828800"/>
            <wp:effectExtent l="19050" t="0" r="1" b="0"/>
            <wp:docPr id="3" name="图片 20" descr="CMD测量装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0" descr="CMD测量装置"/>
                    <pic:cNvPicPr>
                      <a:picLocks noChangeAspect="1"/>
                    </pic:cNvPicPr>
                  </pic:nvPicPr>
                  <pic:blipFill>
                    <a:blip r:embed="rId4" cstate="print"/>
                    <a:stretch>
                      <a:fillRect/>
                    </a:stretch>
                  </pic:blipFill>
                  <pic:spPr>
                    <a:xfrm>
                      <a:off x="0" y="0"/>
                      <a:ext cx="2441387" cy="1831041"/>
                    </a:xfrm>
                    <a:prstGeom prst="rect">
                      <a:avLst/>
                    </a:prstGeom>
                  </pic:spPr>
                </pic:pic>
              </a:graphicData>
            </a:graphic>
          </wp:inline>
        </w:drawing>
      </w:r>
    </w:p>
    <w:p>
      <w:pPr>
        <w:pStyle w:val="16"/>
        <w:ind w:firstLine="0" w:firstLineChars="0"/>
        <w:jc w:val="center"/>
        <w:rPr>
          <w:rFonts w:ascii="Times New Roman"/>
        </w:rPr>
      </w:pPr>
      <w:r>
        <w:rPr>
          <w:rFonts w:hint="eastAsia"/>
        </w:rPr>
        <w:t>图1、CMD测量装置</w:t>
      </w:r>
    </w:p>
    <w:p>
      <w:pPr>
        <w:pStyle w:val="16"/>
        <w:spacing w:line="440" w:lineRule="exact"/>
        <w:ind w:firstLine="480"/>
        <w:rPr>
          <w:rFonts w:ascii="Times New Roman"/>
          <w:kern w:val="2"/>
          <w:sz w:val="24"/>
          <w:szCs w:val="24"/>
        </w:rPr>
      </w:pPr>
      <w:r>
        <w:rPr>
          <w:rFonts w:hint="eastAsia" w:ascii="Times New Roman"/>
          <w:kern w:val="2"/>
          <w:sz w:val="24"/>
          <w:szCs w:val="24"/>
        </w:rPr>
        <w:t>（2）</w:t>
      </w:r>
      <w:r>
        <w:rPr>
          <w:rFonts w:ascii="Times New Roman"/>
          <w:kern w:val="2"/>
          <w:sz w:val="24"/>
          <w:szCs w:val="24"/>
        </w:rPr>
        <w:t xml:space="preserve"> </w:t>
      </w:r>
      <w:r>
        <w:rPr>
          <w:rFonts w:hint="eastAsia" w:ascii="Times New Roman"/>
          <w:kern w:val="2"/>
          <w:sz w:val="24"/>
          <w:szCs w:val="24"/>
        </w:rPr>
        <w:t>座深、座高、座面倾角、靠背倾角、沙发靠背、扶手的测量方法应符合GB/T 38733-2020的规定。座高、座深的测量（图2），座面倾角、靠背倾角的测量（图3）。</w:t>
      </w:r>
    </w:p>
    <w:p>
      <w:pPr>
        <w:pStyle w:val="16"/>
        <w:ind w:firstLine="0" w:firstLineChars="0"/>
        <w:rPr>
          <w:rFonts w:ascii="Times New Roman"/>
        </w:rPr>
      </w:pPr>
    </w:p>
    <w:p>
      <w:pPr>
        <w:pStyle w:val="16"/>
        <w:ind w:firstLine="0" w:firstLineChars="0"/>
        <w:jc w:val="center"/>
        <w:rPr>
          <w:rFonts w:hint="eastAsia"/>
        </w:rPr>
      </w:pPr>
      <w:r>
        <w:rPr>
          <w:rFonts w:hint="eastAsia"/>
        </w:rPr>
        <w:drawing>
          <wp:inline distT="0" distB="0" distL="114300" distR="114300">
            <wp:extent cx="1666875" cy="2222500"/>
            <wp:effectExtent l="0" t="0" r="9525" b="6350"/>
            <wp:docPr id="5" name="图片 21" descr="座高"/>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21" descr="座高"/>
                    <pic:cNvPicPr>
                      <a:picLocks noChangeAspect="1"/>
                    </pic:cNvPicPr>
                  </pic:nvPicPr>
                  <pic:blipFill>
                    <a:blip r:embed="rId5" cstate="print"/>
                    <a:stretch>
                      <a:fillRect/>
                    </a:stretch>
                  </pic:blipFill>
                  <pic:spPr>
                    <a:xfrm>
                      <a:off x="0" y="0"/>
                      <a:ext cx="1666875" cy="2222500"/>
                    </a:xfrm>
                    <a:prstGeom prst="rect">
                      <a:avLst/>
                    </a:prstGeom>
                  </pic:spPr>
                </pic:pic>
              </a:graphicData>
            </a:graphic>
          </wp:inline>
        </w:drawing>
      </w:r>
      <w:r>
        <w:rPr>
          <w:rFonts w:hint="eastAsia"/>
        </w:rPr>
        <w:drawing>
          <wp:inline distT="0" distB="0" distL="114300" distR="114300">
            <wp:extent cx="1657350" cy="2209800"/>
            <wp:effectExtent l="0" t="0" r="0" b="0"/>
            <wp:docPr id="6" name="图片 22" descr="座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22" descr="座深"/>
                    <pic:cNvPicPr>
                      <a:picLocks noChangeAspect="1"/>
                    </pic:cNvPicPr>
                  </pic:nvPicPr>
                  <pic:blipFill>
                    <a:blip r:embed="rId6"/>
                    <a:stretch>
                      <a:fillRect/>
                    </a:stretch>
                  </pic:blipFill>
                  <pic:spPr>
                    <a:xfrm>
                      <a:off x="0" y="0"/>
                      <a:ext cx="1657350" cy="2209800"/>
                    </a:xfrm>
                    <a:prstGeom prst="rect">
                      <a:avLst/>
                    </a:prstGeom>
                  </pic:spPr>
                </pic:pic>
              </a:graphicData>
            </a:graphic>
          </wp:inline>
        </w:drawing>
      </w:r>
    </w:p>
    <w:p>
      <w:pPr>
        <w:pStyle w:val="16"/>
        <w:ind w:firstLine="0" w:firstLineChars="0"/>
        <w:jc w:val="center"/>
      </w:pPr>
      <w:r>
        <w:rPr>
          <w:rFonts w:hint="eastAsia"/>
        </w:rPr>
        <w:t>图2、座高、座深的测量</w:t>
      </w:r>
    </w:p>
    <w:p>
      <w:pPr>
        <w:pStyle w:val="16"/>
        <w:ind w:firstLine="0" w:firstLineChars="0"/>
        <w:jc w:val="center"/>
        <w:rPr>
          <w:rFonts w:hint="eastAsia"/>
        </w:rPr>
      </w:pPr>
    </w:p>
    <w:p>
      <w:pPr>
        <w:pStyle w:val="16"/>
        <w:ind w:firstLine="0" w:firstLineChars="0"/>
        <w:jc w:val="center"/>
      </w:pPr>
      <w:r>
        <w:rPr>
          <w:rFonts w:hint="eastAsia"/>
        </w:rPr>
        <w:drawing>
          <wp:inline distT="0" distB="0" distL="114300" distR="114300">
            <wp:extent cx="1535430" cy="2047240"/>
            <wp:effectExtent l="19050" t="0" r="7086" b="0"/>
            <wp:docPr id="7" name="图片 23" descr="座面倾角"/>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23" descr="座面倾角"/>
                    <pic:cNvPicPr>
                      <a:picLocks noChangeAspect="1"/>
                    </pic:cNvPicPr>
                  </pic:nvPicPr>
                  <pic:blipFill>
                    <a:blip r:embed="rId7" cstate="print"/>
                    <a:stretch>
                      <a:fillRect/>
                    </a:stretch>
                  </pic:blipFill>
                  <pic:spPr>
                    <a:xfrm>
                      <a:off x="0" y="0"/>
                      <a:ext cx="1536951" cy="2052084"/>
                    </a:xfrm>
                    <a:prstGeom prst="rect">
                      <a:avLst/>
                    </a:prstGeom>
                  </pic:spPr>
                </pic:pic>
              </a:graphicData>
            </a:graphic>
          </wp:inline>
        </w:drawing>
      </w:r>
      <w:r>
        <w:rPr>
          <w:rFonts w:hint="eastAsia"/>
        </w:rPr>
        <w:drawing>
          <wp:inline distT="0" distB="0" distL="114300" distR="114300">
            <wp:extent cx="2733675" cy="2050415"/>
            <wp:effectExtent l="19050" t="0" r="9320" b="0"/>
            <wp:docPr id="9" name="图片 28" descr="座面与背部夹角"/>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28" descr="座面与背部夹角"/>
                    <pic:cNvPicPr>
                      <a:picLocks noChangeAspect="1"/>
                    </pic:cNvPicPr>
                  </pic:nvPicPr>
                  <pic:blipFill>
                    <a:blip r:embed="rId8" cstate="print"/>
                    <a:stretch>
                      <a:fillRect/>
                    </a:stretch>
                  </pic:blipFill>
                  <pic:spPr>
                    <a:xfrm>
                      <a:off x="0" y="0"/>
                      <a:ext cx="2733880" cy="2050812"/>
                    </a:xfrm>
                    <a:prstGeom prst="rect">
                      <a:avLst/>
                    </a:prstGeom>
                  </pic:spPr>
                </pic:pic>
              </a:graphicData>
            </a:graphic>
          </wp:inline>
        </w:drawing>
      </w:r>
    </w:p>
    <w:p>
      <w:pPr>
        <w:pStyle w:val="16"/>
        <w:ind w:firstLine="0" w:firstLineChars="0"/>
        <w:jc w:val="center"/>
      </w:pPr>
      <w:r>
        <w:rPr>
          <w:rFonts w:hint="eastAsia"/>
        </w:rPr>
        <w:t>图3、座面倾角、靠背倾角的测量</w:t>
      </w:r>
    </w:p>
    <w:p>
      <w:pPr>
        <w:pStyle w:val="16"/>
        <w:spacing w:line="440" w:lineRule="exact"/>
        <w:ind w:firstLine="482"/>
        <w:rPr>
          <w:rFonts w:ascii="Times New Roman"/>
          <w:b/>
          <w:kern w:val="2"/>
          <w:sz w:val="24"/>
          <w:szCs w:val="24"/>
        </w:rPr>
      </w:pPr>
      <w:r>
        <w:rPr>
          <w:rFonts w:hint="eastAsia" w:ascii="Times New Roman"/>
          <w:b/>
          <w:kern w:val="2"/>
          <w:sz w:val="24"/>
          <w:szCs w:val="24"/>
        </w:rPr>
        <w:t>2、皮革摩擦色牢度/湿擦、碱性汗液、皮革耐磨性试验</w:t>
      </w:r>
    </w:p>
    <w:p>
      <w:pPr>
        <w:pStyle w:val="16"/>
        <w:spacing w:line="440" w:lineRule="exact"/>
        <w:ind w:firstLine="480"/>
        <w:rPr>
          <w:rFonts w:ascii="Times New Roman"/>
          <w:kern w:val="2"/>
          <w:sz w:val="24"/>
          <w:szCs w:val="24"/>
        </w:rPr>
      </w:pPr>
      <w:r>
        <w:rPr>
          <w:rFonts w:hint="eastAsia" w:ascii="Times New Roman"/>
          <w:kern w:val="2"/>
          <w:sz w:val="24"/>
          <w:szCs w:val="24"/>
        </w:rPr>
        <w:t>根据沙发的使用特点，按标准GB/T 16799-2018《家具用皮革》增加了皮革检验项目：皮革摩擦色牢度/湿擦、碱性汗液、皮革耐磨性。</w:t>
      </w:r>
    </w:p>
    <w:p>
      <w:pPr>
        <w:pStyle w:val="16"/>
        <w:spacing w:line="440" w:lineRule="exact"/>
        <w:ind w:firstLine="480"/>
        <w:rPr>
          <w:rFonts w:ascii="Times New Roman"/>
          <w:kern w:val="2"/>
          <w:sz w:val="24"/>
          <w:szCs w:val="24"/>
        </w:rPr>
      </w:pPr>
      <w:r>
        <w:rPr>
          <w:rFonts w:hint="eastAsia" w:ascii="Times New Roman"/>
          <w:kern w:val="2"/>
          <w:sz w:val="24"/>
          <w:szCs w:val="24"/>
        </w:rPr>
        <w:t>（1）</w:t>
      </w:r>
      <w:r>
        <w:rPr>
          <w:rFonts w:ascii="Times New Roman"/>
          <w:kern w:val="2"/>
          <w:sz w:val="24"/>
          <w:szCs w:val="24"/>
        </w:rPr>
        <w:t xml:space="preserve"> </w:t>
      </w:r>
      <w:r>
        <w:rPr>
          <w:rFonts w:hint="eastAsia" w:ascii="Times New Roman"/>
          <w:kern w:val="2"/>
          <w:sz w:val="24"/>
          <w:szCs w:val="24"/>
        </w:rPr>
        <w:t>皮革摩擦色牢度按QB/T2537-2001《皮革色牢度试验往复式摩擦色牢度》的规定进行试验，本标准要求取样部位为试样的座面、扶手或靠背等人体直接接触的部位。试验前按标准要求准备样品（图4），试验中（图5），试验后（图6）。</w:t>
      </w:r>
    </w:p>
    <w:p>
      <w:pPr>
        <w:pStyle w:val="16"/>
        <w:ind w:firstLine="0" w:firstLineChars="0"/>
        <w:rPr>
          <w:sz w:val="24"/>
          <w:szCs w:val="24"/>
        </w:rPr>
      </w:pPr>
    </w:p>
    <w:p>
      <w:pPr>
        <w:pStyle w:val="16"/>
        <w:ind w:firstLine="0" w:firstLineChars="0"/>
        <w:jc w:val="center"/>
        <w:rPr>
          <w:rFonts w:ascii="Times New Roman" w:hAnsi="宋体"/>
        </w:rPr>
      </w:pPr>
      <w:r>
        <w:drawing>
          <wp:inline distT="0" distB="0" distL="0" distR="0">
            <wp:extent cx="3257550" cy="2442845"/>
            <wp:effectExtent l="0" t="0" r="0" b="0"/>
            <wp:docPr id="20" name="图片 20" descr="C:\Users\ADMINI~1\AppData\Local\Temp\Rar$DIa3408.33764\试验前皮革干擦、湿擦、碱性汗液.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descr="C:\Users\ADMINI~1\AppData\Local\Temp\Rar$DIa3408.33764\试验前皮革干擦、湿擦、碱性汗液.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a:xfrm>
                      <a:off x="0" y="0"/>
                      <a:ext cx="3259905" cy="2444930"/>
                    </a:xfrm>
                    <a:prstGeom prst="rect">
                      <a:avLst/>
                    </a:prstGeom>
                    <a:noFill/>
                    <a:ln>
                      <a:noFill/>
                    </a:ln>
                  </pic:spPr>
                </pic:pic>
              </a:graphicData>
            </a:graphic>
          </wp:inline>
        </w:drawing>
      </w:r>
    </w:p>
    <w:p>
      <w:pPr>
        <w:pStyle w:val="16"/>
        <w:ind w:firstLine="0" w:firstLineChars="0"/>
        <w:jc w:val="center"/>
        <w:rPr>
          <w:rFonts w:ascii="Times New Roman" w:hAnsi="宋体"/>
        </w:rPr>
      </w:pPr>
      <w:r>
        <w:rPr>
          <w:rFonts w:hint="eastAsia" w:ascii="Times New Roman" w:hAnsi="宋体"/>
        </w:rPr>
        <w:t>图4、皮革摩擦色牢度：干擦、湿擦、碱性汗液（试验前）</w:t>
      </w:r>
    </w:p>
    <w:p>
      <w:pPr>
        <w:pStyle w:val="16"/>
        <w:ind w:firstLine="420"/>
        <w:rPr>
          <w:rFonts w:ascii="Times New Roman" w:hAnsi="宋体"/>
        </w:rPr>
      </w:pPr>
    </w:p>
    <w:p>
      <w:pPr>
        <w:pStyle w:val="16"/>
        <w:ind w:firstLine="0" w:firstLineChars="0"/>
        <w:jc w:val="center"/>
        <w:rPr>
          <w:rFonts w:ascii="Times New Roman" w:hAnsi="宋体"/>
        </w:rPr>
      </w:pPr>
      <w:r>
        <w:rPr>
          <w:rFonts w:ascii="Times New Roman" w:hAnsi="宋体"/>
        </w:rPr>
        <w:drawing>
          <wp:inline distT="0" distB="0" distL="0" distR="0">
            <wp:extent cx="1752600" cy="2336800"/>
            <wp:effectExtent l="0" t="0" r="0" b="0"/>
            <wp:docPr id="21" name="图片 21" descr="C:\Users\ADMINI~1\AppData\Local\Temp\Rar$DIa1112.23660\试验中皮革干擦、湿擦、碱性汗液.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descr="C:\Users\ADMINI~1\AppData\Local\Temp\Rar$DIa1112.23660\试验中皮革干擦、湿擦、碱性汗液.jp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a:xfrm>
                      <a:off x="0" y="0"/>
                      <a:ext cx="1753339" cy="2337785"/>
                    </a:xfrm>
                    <a:prstGeom prst="rect">
                      <a:avLst/>
                    </a:prstGeom>
                    <a:noFill/>
                    <a:ln>
                      <a:noFill/>
                    </a:ln>
                  </pic:spPr>
                </pic:pic>
              </a:graphicData>
            </a:graphic>
          </wp:inline>
        </w:drawing>
      </w:r>
    </w:p>
    <w:p>
      <w:pPr>
        <w:pStyle w:val="16"/>
        <w:ind w:firstLine="0" w:firstLineChars="0"/>
        <w:jc w:val="center"/>
        <w:rPr>
          <w:rFonts w:ascii="Times New Roman" w:hAnsi="宋体"/>
        </w:rPr>
      </w:pPr>
      <w:r>
        <w:rPr>
          <w:rFonts w:hint="eastAsia" w:ascii="Times New Roman" w:hAnsi="宋体"/>
        </w:rPr>
        <w:t>图5、皮革摩擦色牢度：干擦、湿擦、碱性汗液（试验中）</w:t>
      </w:r>
    </w:p>
    <w:p>
      <w:pPr>
        <w:pStyle w:val="16"/>
        <w:ind w:firstLine="0" w:firstLineChars="0"/>
        <w:jc w:val="center"/>
        <w:rPr>
          <w:rFonts w:ascii="Times New Roman" w:hAnsi="宋体"/>
        </w:rPr>
      </w:pPr>
      <w:r>
        <w:rPr>
          <w:rFonts w:ascii="Times New Roman" w:hAnsi="宋体"/>
        </w:rPr>
        <w:drawing>
          <wp:inline distT="0" distB="0" distL="0" distR="0">
            <wp:extent cx="2920365" cy="2190750"/>
            <wp:effectExtent l="0" t="0" r="0" b="0"/>
            <wp:docPr id="22" name="图片 22" descr="C:\Users\ADMINI~1\AppData\Local\Temp\Rar$DIa1112.29592\试验后皮革干擦、湿擦、碱性汗液.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descr="C:\Users\ADMINI~1\AppData\Local\Temp\Rar$DIa1112.29592\试验后皮革干擦、湿擦、碱性汗液.jp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a:xfrm>
                      <a:off x="0" y="0"/>
                      <a:ext cx="2923110" cy="2192334"/>
                    </a:xfrm>
                    <a:prstGeom prst="rect">
                      <a:avLst/>
                    </a:prstGeom>
                    <a:noFill/>
                    <a:ln>
                      <a:noFill/>
                    </a:ln>
                  </pic:spPr>
                </pic:pic>
              </a:graphicData>
            </a:graphic>
          </wp:inline>
        </w:drawing>
      </w:r>
    </w:p>
    <w:p>
      <w:pPr>
        <w:pStyle w:val="16"/>
        <w:ind w:firstLine="0" w:firstLineChars="0"/>
        <w:jc w:val="center"/>
        <w:rPr>
          <w:rFonts w:ascii="Times New Roman" w:hAnsi="宋体"/>
        </w:rPr>
      </w:pPr>
      <w:r>
        <w:rPr>
          <w:rFonts w:hint="eastAsia" w:ascii="Times New Roman" w:hAnsi="宋体"/>
        </w:rPr>
        <w:t>图6、皮革摩擦色牢度：干擦、湿擦、碱性汗液（试验后）</w:t>
      </w:r>
    </w:p>
    <w:p>
      <w:pPr>
        <w:pStyle w:val="16"/>
        <w:spacing w:line="440" w:lineRule="exact"/>
        <w:ind w:firstLine="480"/>
        <w:rPr>
          <w:rFonts w:ascii="Times New Roman"/>
          <w:kern w:val="2"/>
          <w:sz w:val="24"/>
          <w:szCs w:val="24"/>
        </w:rPr>
      </w:pPr>
    </w:p>
    <w:p>
      <w:pPr>
        <w:pStyle w:val="16"/>
        <w:spacing w:line="440" w:lineRule="exact"/>
        <w:ind w:firstLine="480"/>
        <w:rPr>
          <w:sz w:val="24"/>
          <w:szCs w:val="24"/>
        </w:rPr>
      </w:pPr>
      <w:r>
        <w:rPr>
          <w:rFonts w:hint="eastAsia" w:ascii="Times New Roman"/>
          <w:kern w:val="2"/>
          <w:sz w:val="24"/>
          <w:szCs w:val="24"/>
        </w:rPr>
        <w:t>（2）</w:t>
      </w:r>
      <w:r>
        <w:rPr>
          <w:rFonts w:ascii="Times New Roman"/>
          <w:kern w:val="2"/>
          <w:sz w:val="24"/>
          <w:szCs w:val="24"/>
        </w:rPr>
        <w:t xml:space="preserve"> </w:t>
      </w:r>
      <w:r>
        <w:rPr>
          <w:rFonts w:hint="eastAsia"/>
          <w:sz w:val="24"/>
          <w:szCs w:val="24"/>
        </w:rPr>
        <w:t>皮革耐磨性试验按QB/T 2726的规定进行，取样3个，磨轮：CS-10,500g，500r。3个试样全部符合要求，即为合格。</w:t>
      </w:r>
      <w:r>
        <w:rPr>
          <w:rFonts w:hint="eastAsia" w:ascii="Times New Roman"/>
          <w:kern w:val="2"/>
          <w:sz w:val="24"/>
          <w:szCs w:val="24"/>
        </w:rPr>
        <w:t>试验前按标准要求准备样品（图7），试验中（图8），试验后（图9）。</w:t>
      </w:r>
    </w:p>
    <w:p>
      <w:pPr>
        <w:pStyle w:val="16"/>
        <w:ind w:firstLine="0" w:firstLineChars="0"/>
        <w:jc w:val="center"/>
        <w:rPr>
          <w:rFonts w:ascii="Times New Roman" w:hAnsi="宋体"/>
        </w:rPr>
      </w:pPr>
      <w:r>
        <w:rPr>
          <w:rFonts w:ascii="Times New Roman" w:hAnsi="宋体"/>
        </w:rPr>
        <w:drawing>
          <wp:inline distT="0" distB="0" distL="0" distR="0">
            <wp:extent cx="3140710" cy="2355850"/>
            <wp:effectExtent l="0" t="0" r="2540" b="6350"/>
            <wp:docPr id="23" name="图片 23" descr="C:\Users\ADMINI~1\AppData\Local\Temp\Rar$DIa1112.8475\试验前皮革耐磨.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descr="C:\Users\ADMINI~1\AppData\Local\Temp\Rar$DIa1112.8475\试验前皮革耐磨.jp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a:xfrm>
                      <a:off x="0" y="0"/>
                      <a:ext cx="3147128" cy="2360347"/>
                    </a:xfrm>
                    <a:prstGeom prst="rect">
                      <a:avLst/>
                    </a:prstGeom>
                    <a:noFill/>
                    <a:ln>
                      <a:noFill/>
                    </a:ln>
                  </pic:spPr>
                </pic:pic>
              </a:graphicData>
            </a:graphic>
          </wp:inline>
        </w:drawing>
      </w:r>
    </w:p>
    <w:p>
      <w:pPr>
        <w:pStyle w:val="16"/>
        <w:ind w:firstLine="0" w:firstLineChars="0"/>
        <w:jc w:val="center"/>
        <w:rPr>
          <w:rFonts w:ascii="Times New Roman" w:hAnsi="宋体"/>
        </w:rPr>
      </w:pPr>
      <w:r>
        <w:rPr>
          <w:rFonts w:hint="eastAsia" w:ascii="Times New Roman" w:hAnsi="宋体"/>
        </w:rPr>
        <w:t>图7、皮革耐磨性（试验前）</w:t>
      </w:r>
    </w:p>
    <w:p>
      <w:pPr>
        <w:pStyle w:val="16"/>
        <w:ind w:firstLine="0" w:firstLineChars="0"/>
        <w:jc w:val="center"/>
        <w:rPr>
          <w:rFonts w:ascii="Times New Roman" w:hAnsi="宋体"/>
        </w:rPr>
      </w:pPr>
      <w:r>
        <w:rPr>
          <w:rFonts w:ascii="Times New Roman" w:hAnsi="宋体"/>
        </w:rPr>
        <w:drawing>
          <wp:inline distT="0" distB="0" distL="0" distR="0">
            <wp:extent cx="1933575" cy="2577465"/>
            <wp:effectExtent l="0" t="0" r="0" b="0"/>
            <wp:docPr id="28" name="图片 28" descr="C:\Users\ADMINI~1\AppData\Local\Temp\Rar$DIa1112.17597\试验中皮革耐磨.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8" descr="C:\Users\ADMINI~1\AppData\Local\Temp\Rar$DIa1112.17597\试验中皮革耐磨.jp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a:xfrm>
                      <a:off x="0" y="0"/>
                      <a:ext cx="1938387" cy="2584516"/>
                    </a:xfrm>
                    <a:prstGeom prst="rect">
                      <a:avLst/>
                    </a:prstGeom>
                    <a:noFill/>
                    <a:ln>
                      <a:noFill/>
                    </a:ln>
                  </pic:spPr>
                </pic:pic>
              </a:graphicData>
            </a:graphic>
          </wp:inline>
        </w:drawing>
      </w:r>
    </w:p>
    <w:p>
      <w:pPr>
        <w:pStyle w:val="16"/>
        <w:ind w:firstLine="0" w:firstLineChars="0"/>
        <w:jc w:val="center"/>
        <w:rPr>
          <w:rFonts w:ascii="Times New Roman" w:hAnsi="宋体"/>
        </w:rPr>
      </w:pPr>
      <w:r>
        <w:rPr>
          <w:rFonts w:hint="eastAsia" w:ascii="Times New Roman" w:hAnsi="宋体"/>
        </w:rPr>
        <w:t>图8、皮革耐磨性（试验中）</w:t>
      </w:r>
    </w:p>
    <w:p>
      <w:pPr>
        <w:pStyle w:val="16"/>
        <w:ind w:firstLine="199" w:firstLineChars="95"/>
        <w:jc w:val="center"/>
        <w:rPr>
          <w:rFonts w:ascii="Times New Roman" w:hAnsi="宋体"/>
        </w:rPr>
      </w:pPr>
      <w:r>
        <w:rPr>
          <w:rFonts w:ascii="Times New Roman" w:hAnsi="宋体"/>
        </w:rPr>
        <w:drawing>
          <wp:inline distT="0" distB="0" distL="0" distR="0">
            <wp:extent cx="2743200" cy="2057400"/>
            <wp:effectExtent l="0" t="0" r="0" b="0"/>
            <wp:docPr id="29" name="图片 29" descr="C:\Users\ADMINI~1\AppData\Local\Temp\Rar$DIa1112.24928\试验后皮革耐磨.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9" descr="C:\Users\ADMINI~1\AppData\Local\Temp\Rar$DIa1112.24928\试验后皮革耐磨.jpg"/>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a:xfrm>
                      <a:off x="0" y="0"/>
                      <a:ext cx="2758411" cy="2068808"/>
                    </a:xfrm>
                    <a:prstGeom prst="rect">
                      <a:avLst/>
                    </a:prstGeom>
                    <a:noFill/>
                    <a:ln>
                      <a:noFill/>
                    </a:ln>
                  </pic:spPr>
                </pic:pic>
              </a:graphicData>
            </a:graphic>
          </wp:inline>
        </w:drawing>
      </w:r>
    </w:p>
    <w:p>
      <w:pPr>
        <w:pStyle w:val="16"/>
        <w:ind w:firstLine="0" w:firstLineChars="0"/>
        <w:jc w:val="center"/>
        <w:rPr>
          <w:rFonts w:ascii="Times New Roman" w:hAnsi="宋体"/>
          <w:color w:val="000000" w:themeColor="text1"/>
        </w:rPr>
      </w:pPr>
      <w:r>
        <w:rPr>
          <w:rFonts w:hint="eastAsia" w:ascii="Times New Roman" w:hAnsi="宋体"/>
          <w:color w:val="000000" w:themeColor="text1"/>
        </w:rPr>
        <w:t>图9、皮革耐磨性（试验后）</w:t>
      </w:r>
    </w:p>
    <w:p>
      <w:pPr>
        <w:pStyle w:val="16"/>
        <w:spacing w:line="440" w:lineRule="exact"/>
        <w:ind w:firstLine="482"/>
        <w:rPr>
          <w:rFonts w:ascii="Times New Roman"/>
          <w:b/>
          <w:kern w:val="2"/>
          <w:sz w:val="24"/>
          <w:szCs w:val="24"/>
        </w:rPr>
      </w:pPr>
      <w:r>
        <w:rPr>
          <w:rFonts w:hint="eastAsia" w:ascii="Times New Roman"/>
          <w:b/>
          <w:kern w:val="2"/>
          <w:sz w:val="24"/>
          <w:szCs w:val="24"/>
        </w:rPr>
        <w:t>3、人造革摩擦色牢度/干擦、湿擦、碱性汗液试验</w:t>
      </w:r>
    </w:p>
    <w:p>
      <w:pPr>
        <w:pStyle w:val="16"/>
        <w:spacing w:line="440" w:lineRule="exact"/>
        <w:ind w:firstLine="480"/>
        <w:rPr>
          <w:color w:val="000000" w:themeColor="text1"/>
          <w:sz w:val="24"/>
          <w:szCs w:val="24"/>
        </w:rPr>
      </w:pPr>
      <w:r>
        <w:rPr>
          <w:rFonts w:hint="eastAsia"/>
          <w:color w:val="000000" w:themeColor="text1"/>
          <w:sz w:val="24"/>
          <w:szCs w:val="24"/>
        </w:rPr>
        <w:t>人造革摩擦色牢度，1）干擦：按GB/T 3920的规定进行；2）湿擦：将白棉布浸入蒸馏水中10min后，按GB/T 3920的规定进行；3）碱性汗液：按QB/T1646-2007汗液配制方法，将白棉布浸入人造汗液中10min后，按GB/T 3920的规定进行。</w:t>
      </w:r>
      <w:r>
        <w:rPr>
          <w:rFonts w:hint="eastAsia" w:ascii="Times New Roman"/>
          <w:kern w:val="2"/>
          <w:sz w:val="24"/>
          <w:szCs w:val="24"/>
        </w:rPr>
        <w:t>试验前按标准要求准备样品（图10），试验中（图11），试验后（图12）。</w:t>
      </w:r>
    </w:p>
    <w:p>
      <w:pPr>
        <w:pStyle w:val="16"/>
        <w:ind w:firstLine="0" w:firstLineChars="0"/>
        <w:jc w:val="center"/>
        <w:rPr>
          <w:color w:val="000000" w:themeColor="text1"/>
        </w:rPr>
      </w:pPr>
      <w:r>
        <w:rPr>
          <w:color w:val="000000" w:themeColor="text1"/>
        </w:rPr>
        <w:drawing>
          <wp:inline distT="0" distB="0" distL="0" distR="0">
            <wp:extent cx="2636520" cy="1977390"/>
            <wp:effectExtent l="19050" t="0" r="0" b="0"/>
            <wp:docPr id="30" name="图片 30" descr="C:\Users\ADMINI~1\AppData\Local\Temp\Rar$DIa1112.9899\试验前人造革干擦、湿擦、碱性汗液.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30" descr="C:\Users\ADMINI~1\AppData\Local\Temp\Rar$DIa1112.9899\试验前人造革干擦、湿擦、碱性汗液.jpg"/>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a:xfrm>
                      <a:off x="0" y="0"/>
                      <a:ext cx="2641728" cy="1981297"/>
                    </a:xfrm>
                    <a:prstGeom prst="rect">
                      <a:avLst/>
                    </a:prstGeom>
                    <a:noFill/>
                    <a:ln>
                      <a:noFill/>
                    </a:ln>
                  </pic:spPr>
                </pic:pic>
              </a:graphicData>
            </a:graphic>
          </wp:inline>
        </w:drawing>
      </w:r>
    </w:p>
    <w:p>
      <w:pPr>
        <w:pStyle w:val="16"/>
        <w:ind w:firstLine="0" w:firstLineChars="0"/>
        <w:jc w:val="center"/>
        <w:rPr>
          <w:rFonts w:ascii="Times New Roman" w:hAnsi="宋体"/>
          <w:color w:val="000000" w:themeColor="text1"/>
        </w:rPr>
      </w:pPr>
      <w:r>
        <w:rPr>
          <w:rFonts w:hint="eastAsia" w:ascii="Times New Roman" w:hAnsi="宋体"/>
          <w:color w:val="000000" w:themeColor="text1"/>
        </w:rPr>
        <w:t>图10、人造革干擦、湿擦、碱性汗液（试验后）</w:t>
      </w:r>
    </w:p>
    <w:p>
      <w:pPr>
        <w:pStyle w:val="16"/>
        <w:ind w:firstLine="0" w:firstLineChars="0"/>
        <w:jc w:val="center"/>
        <w:rPr>
          <w:color w:val="000000" w:themeColor="text1"/>
        </w:rPr>
      </w:pPr>
      <w:r>
        <w:rPr>
          <w:color w:val="000000" w:themeColor="text1"/>
        </w:rPr>
        <w:drawing>
          <wp:inline distT="0" distB="0" distL="0" distR="0">
            <wp:extent cx="2689860" cy="2017395"/>
            <wp:effectExtent l="19050" t="0" r="0" b="0"/>
            <wp:docPr id="31" name="图片 31" descr="C:\Users\ADMINI~1\AppData\Local\Temp\Rar$DIa1112.20911\试验中人造革摩擦色牢度.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31" descr="C:\Users\ADMINI~1\AppData\Local\Temp\Rar$DIa1112.20911\试验中人造革摩擦色牢度.jpg"/>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a:xfrm>
                      <a:off x="0" y="0"/>
                      <a:ext cx="2704420" cy="2028316"/>
                    </a:xfrm>
                    <a:prstGeom prst="rect">
                      <a:avLst/>
                    </a:prstGeom>
                    <a:noFill/>
                    <a:ln>
                      <a:noFill/>
                    </a:ln>
                  </pic:spPr>
                </pic:pic>
              </a:graphicData>
            </a:graphic>
          </wp:inline>
        </w:drawing>
      </w:r>
    </w:p>
    <w:p>
      <w:pPr>
        <w:pStyle w:val="16"/>
        <w:ind w:firstLine="0" w:firstLineChars="0"/>
        <w:jc w:val="center"/>
        <w:rPr>
          <w:rFonts w:ascii="Times New Roman" w:hAnsi="宋体"/>
          <w:color w:val="000000" w:themeColor="text1"/>
        </w:rPr>
      </w:pPr>
      <w:r>
        <w:rPr>
          <w:rFonts w:hint="eastAsia" w:ascii="Times New Roman" w:hAnsi="宋体"/>
          <w:color w:val="000000" w:themeColor="text1"/>
        </w:rPr>
        <w:t>图11、人造革干擦、湿擦、碱性汗液（试验中）</w:t>
      </w:r>
    </w:p>
    <w:p>
      <w:pPr>
        <w:pStyle w:val="16"/>
        <w:ind w:firstLine="0" w:firstLineChars="0"/>
        <w:jc w:val="center"/>
        <w:rPr>
          <w:color w:val="000000" w:themeColor="text1"/>
        </w:rPr>
      </w:pPr>
      <w:r>
        <w:rPr>
          <w:color w:val="000000" w:themeColor="text1"/>
        </w:rPr>
        <w:drawing>
          <wp:inline distT="0" distB="0" distL="0" distR="0">
            <wp:extent cx="2795905" cy="2096770"/>
            <wp:effectExtent l="19050" t="0" r="3987" b="0"/>
            <wp:docPr id="32" name="图片 32" descr="C:\Users\ADMINI~1\AppData\Local\Temp\Rar$DIa1112.27516\试验后人造革干擦、湿擦、碱性汗液.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32" descr="C:\Users\ADMINI~1\AppData\Local\Temp\Rar$DIa1112.27516\试验后人造革干擦、湿擦、碱性汗液.jpg"/>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a:xfrm>
                      <a:off x="0" y="0"/>
                      <a:ext cx="2809064" cy="2106798"/>
                    </a:xfrm>
                    <a:prstGeom prst="rect">
                      <a:avLst/>
                    </a:prstGeom>
                    <a:noFill/>
                    <a:ln>
                      <a:noFill/>
                    </a:ln>
                  </pic:spPr>
                </pic:pic>
              </a:graphicData>
            </a:graphic>
          </wp:inline>
        </w:drawing>
      </w:r>
    </w:p>
    <w:p>
      <w:pPr>
        <w:pStyle w:val="16"/>
        <w:ind w:firstLine="0" w:firstLineChars="0"/>
        <w:jc w:val="center"/>
        <w:rPr>
          <w:rFonts w:ascii="Times New Roman" w:hAnsi="宋体"/>
          <w:color w:val="000000" w:themeColor="text1"/>
        </w:rPr>
      </w:pPr>
      <w:r>
        <w:rPr>
          <w:rFonts w:hint="eastAsia" w:ascii="Times New Roman" w:hAnsi="宋体"/>
          <w:color w:val="000000" w:themeColor="text1"/>
        </w:rPr>
        <w:t>图12、人造革干擦、湿擦、碱性汗液（试验后）</w:t>
      </w:r>
    </w:p>
    <w:p>
      <w:pPr>
        <w:pStyle w:val="16"/>
        <w:spacing w:line="440" w:lineRule="exact"/>
        <w:ind w:left="480" w:firstLine="0" w:firstLineChars="0"/>
        <w:rPr>
          <w:rFonts w:ascii="Times New Roman"/>
          <w:b/>
          <w:kern w:val="2"/>
          <w:sz w:val="24"/>
          <w:szCs w:val="24"/>
        </w:rPr>
      </w:pPr>
      <w:r>
        <w:rPr>
          <w:rFonts w:hint="eastAsia" w:ascii="Times New Roman"/>
          <w:b/>
          <w:kern w:val="2"/>
          <w:sz w:val="24"/>
          <w:szCs w:val="24"/>
        </w:rPr>
        <w:t>4、纺织面料起毛起球试验</w:t>
      </w:r>
    </w:p>
    <w:p>
      <w:pPr>
        <w:pStyle w:val="16"/>
        <w:spacing w:line="440" w:lineRule="exact"/>
        <w:ind w:firstLine="480"/>
        <w:rPr>
          <w:rFonts w:ascii="Times New Roman"/>
          <w:kern w:val="2"/>
          <w:sz w:val="24"/>
          <w:szCs w:val="24"/>
        </w:rPr>
      </w:pPr>
      <w:r>
        <w:rPr>
          <w:rFonts w:hint="eastAsia"/>
          <w:sz w:val="24"/>
          <w:szCs w:val="24"/>
        </w:rPr>
        <w:t>纺织面料的起毛起球按照GB/T 4802.2-2008中的附录A，类别2规定进行，负荷质量为415±2g。试验评定6个阶段，6个阶段均符合，即为合格。</w:t>
      </w:r>
      <w:r>
        <w:rPr>
          <w:rFonts w:hint="eastAsia" w:ascii="Times New Roman"/>
          <w:kern w:val="2"/>
          <w:sz w:val="24"/>
          <w:szCs w:val="24"/>
        </w:rPr>
        <w:t>试验前按标准要求准备样品和试验中（图13），起毛起球第一阶段（图</w:t>
      </w:r>
      <w:r>
        <w:rPr>
          <w:rFonts w:ascii="Times New Roman"/>
          <w:kern w:val="2"/>
          <w:sz w:val="24"/>
          <w:szCs w:val="24"/>
        </w:rPr>
        <w:t>1</w:t>
      </w:r>
      <w:r>
        <w:rPr>
          <w:rFonts w:hint="eastAsia" w:ascii="Times New Roman"/>
          <w:kern w:val="2"/>
          <w:sz w:val="24"/>
          <w:szCs w:val="24"/>
        </w:rPr>
        <w:t>4），起毛起球第二阶段（图</w:t>
      </w:r>
      <w:r>
        <w:rPr>
          <w:rFonts w:ascii="Times New Roman"/>
          <w:kern w:val="2"/>
          <w:sz w:val="24"/>
          <w:szCs w:val="24"/>
        </w:rPr>
        <w:t>1</w:t>
      </w:r>
      <w:r>
        <w:rPr>
          <w:rFonts w:hint="eastAsia" w:ascii="Times New Roman"/>
          <w:kern w:val="2"/>
          <w:sz w:val="24"/>
          <w:szCs w:val="24"/>
        </w:rPr>
        <w:t>5），起毛起球第三阶段（图</w:t>
      </w:r>
      <w:r>
        <w:rPr>
          <w:rFonts w:ascii="Times New Roman"/>
          <w:kern w:val="2"/>
          <w:sz w:val="24"/>
          <w:szCs w:val="24"/>
        </w:rPr>
        <w:t>1</w:t>
      </w:r>
      <w:r>
        <w:rPr>
          <w:rFonts w:hint="eastAsia" w:ascii="Times New Roman"/>
          <w:kern w:val="2"/>
          <w:sz w:val="24"/>
          <w:szCs w:val="24"/>
        </w:rPr>
        <w:t>6），起毛起球第四阶段（图</w:t>
      </w:r>
      <w:r>
        <w:rPr>
          <w:rFonts w:ascii="Times New Roman"/>
          <w:kern w:val="2"/>
          <w:sz w:val="24"/>
          <w:szCs w:val="24"/>
        </w:rPr>
        <w:t>1</w:t>
      </w:r>
      <w:r>
        <w:rPr>
          <w:rFonts w:hint="eastAsia" w:ascii="Times New Roman"/>
          <w:kern w:val="2"/>
          <w:sz w:val="24"/>
          <w:szCs w:val="24"/>
        </w:rPr>
        <w:t>7），起毛起球第五阶段（图</w:t>
      </w:r>
      <w:r>
        <w:rPr>
          <w:rFonts w:ascii="Times New Roman"/>
          <w:kern w:val="2"/>
          <w:sz w:val="24"/>
          <w:szCs w:val="24"/>
        </w:rPr>
        <w:t>1</w:t>
      </w:r>
      <w:r>
        <w:rPr>
          <w:rFonts w:hint="eastAsia" w:ascii="Times New Roman"/>
          <w:kern w:val="2"/>
          <w:sz w:val="24"/>
          <w:szCs w:val="24"/>
        </w:rPr>
        <w:t>8），起毛起球第六阶段（图</w:t>
      </w:r>
      <w:r>
        <w:rPr>
          <w:rFonts w:ascii="Times New Roman"/>
          <w:kern w:val="2"/>
          <w:sz w:val="24"/>
          <w:szCs w:val="24"/>
        </w:rPr>
        <w:t>1</w:t>
      </w:r>
      <w:r>
        <w:rPr>
          <w:rFonts w:hint="eastAsia" w:ascii="Times New Roman"/>
          <w:kern w:val="2"/>
          <w:sz w:val="24"/>
          <w:szCs w:val="24"/>
        </w:rPr>
        <w:t>9）。</w:t>
      </w:r>
    </w:p>
    <w:p>
      <w:pPr>
        <w:pStyle w:val="16"/>
        <w:ind w:firstLine="840" w:firstLineChars="400"/>
        <w:rPr>
          <w:rFonts w:ascii="Times New Roman" w:hAnsi="宋体"/>
        </w:rPr>
      </w:pPr>
      <w:r>
        <w:rPr>
          <w:rFonts w:ascii="Times New Roman" w:hAnsi="宋体"/>
        </w:rPr>
        <w:drawing>
          <wp:inline distT="0" distB="0" distL="0" distR="0">
            <wp:extent cx="2778125" cy="2083435"/>
            <wp:effectExtent l="19050" t="0" r="2658" b="0"/>
            <wp:docPr id="61" name="图片 61" descr="C:\Users\ADMINI~1\AppData\Local\Temp\Rar$DIa8716.20509\试验前样品照片.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图片 61" descr="C:\Users\ADMINI~1\AppData\Local\Temp\Rar$DIa8716.20509\试验前样品照片.jpg"/>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a:xfrm>
                      <a:off x="0" y="0"/>
                      <a:ext cx="2786116" cy="2089586"/>
                    </a:xfrm>
                    <a:prstGeom prst="rect">
                      <a:avLst/>
                    </a:prstGeom>
                    <a:noFill/>
                    <a:ln>
                      <a:noFill/>
                    </a:ln>
                  </pic:spPr>
                </pic:pic>
              </a:graphicData>
            </a:graphic>
          </wp:inline>
        </w:drawing>
      </w:r>
      <w:r>
        <w:rPr>
          <w:rFonts w:ascii="Times New Roman" w:eastAsia="Times New Roman"/>
          <w:color w:val="000000"/>
          <w:w w:val="0"/>
          <w:sz w:val="0"/>
          <w:szCs w:val="0"/>
          <w:u w:color="000000"/>
          <w:shd w:val="clear" w:color="000000" w:fill="000000"/>
        </w:rPr>
        <w:drawing>
          <wp:inline distT="0" distB="0" distL="0" distR="0">
            <wp:extent cx="1554480" cy="2073275"/>
            <wp:effectExtent l="19050" t="0" r="7089" b="0"/>
            <wp:docPr id="62" name="图片 62" descr="C:\Users\ADMINI~1\AppData\Local\Temp\Rar$DIa8716.36020\试验中照片.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图片 62" descr="C:\Users\ADMINI~1\AppData\Local\Temp\Rar$DIa8716.36020\试验中照片.jpg"/>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a:xfrm>
                      <a:off x="0" y="0"/>
                      <a:ext cx="1558872" cy="2078496"/>
                    </a:xfrm>
                    <a:prstGeom prst="rect">
                      <a:avLst/>
                    </a:prstGeom>
                    <a:noFill/>
                    <a:ln>
                      <a:noFill/>
                    </a:ln>
                  </pic:spPr>
                </pic:pic>
              </a:graphicData>
            </a:graphic>
          </wp:inline>
        </w:drawing>
      </w:r>
    </w:p>
    <w:p>
      <w:pPr>
        <w:pStyle w:val="16"/>
        <w:ind w:firstLine="2625" w:firstLineChars="1250"/>
        <w:rPr>
          <w:rFonts w:ascii="Times New Roman" w:hAnsi="宋体"/>
          <w:color w:val="000000" w:themeColor="text1"/>
        </w:rPr>
      </w:pPr>
      <w:r>
        <w:rPr>
          <w:rFonts w:hint="eastAsia" w:ascii="Times New Roman" w:hAnsi="宋体"/>
          <w:color w:val="000000" w:themeColor="text1"/>
        </w:rPr>
        <w:t>图13、起毛起球（试验前、试验中）</w:t>
      </w:r>
    </w:p>
    <w:p>
      <w:pPr>
        <w:pStyle w:val="16"/>
        <w:ind w:firstLine="0" w:firstLineChars="0"/>
        <w:jc w:val="center"/>
        <w:rPr>
          <w:rFonts w:ascii="Times New Roman" w:hAnsi="宋体"/>
          <w:color w:val="000000" w:themeColor="text1"/>
        </w:rPr>
      </w:pPr>
      <w:r>
        <w:rPr>
          <w:rFonts w:ascii="Times New Roman" w:hAnsi="宋体"/>
          <w:color w:val="000000" w:themeColor="text1"/>
        </w:rPr>
        <w:drawing>
          <wp:inline distT="0" distB="0" distL="0" distR="0">
            <wp:extent cx="1788160" cy="2383790"/>
            <wp:effectExtent l="0" t="0" r="0" b="0"/>
            <wp:docPr id="63" name="图片 63" descr="C:\Users\ADMINI~1\AppData\Local\Temp\Rar$DIa8716.48303\第一阶段设置.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图片 63" descr="C:\Users\ADMINI~1\AppData\Local\Temp\Rar$DIa8716.48303\第一阶段设置.jpg"/>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a:xfrm>
                      <a:off x="0" y="0"/>
                      <a:ext cx="1793139" cy="2390851"/>
                    </a:xfrm>
                    <a:prstGeom prst="rect">
                      <a:avLst/>
                    </a:prstGeom>
                    <a:noFill/>
                    <a:ln>
                      <a:noFill/>
                    </a:ln>
                  </pic:spPr>
                </pic:pic>
              </a:graphicData>
            </a:graphic>
          </wp:inline>
        </w:drawing>
      </w:r>
      <w:r>
        <w:rPr>
          <w:rFonts w:ascii="Times New Roman" w:hAnsi="宋体"/>
        </w:rPr>
        <w:drawing>
          <wp:inline distT="0" distB="0" distL="0" distR="0">
            <wp:extent cx="1792605" cy="2390775"/>
            <wp:effectExtent l="0" t="0" r="0" b="0"/>
            <wp:docPr id="64" name="图片 64" descr="C:\Users\ADMINI~1\AppData\Local\Temp\Rar$DIa8716.25569\第一阶段结束照片.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 name="图片 64" descr="C:\Users\ADMINI~1\AppData\Local\Temp\Rar$DIa8716.25569\第一阶段结束照片.jpg"/>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a:xfrm>
                      <a:off x="0" y="0"/>
                      <a:ext cx="1793081" cy="2390775"/>
                    </a:xfrm>
                    <a:prstGeom prst="rect">
                      <a:avLst/>
                    </a:prstGeom>
                    <a:noFill/>
                    <a:ln>
                      <a:noFill/>
                    </a:ln>
                  </pic:spPr>
                </pic:pic>
              </a:graphicData>
            </a:graphic>
          </wp:inline>
        </w:drawing>
      </w:r>
    </w:p>
    <w:p>
      <w:pPr>
        <w:pStyle w:val="16"/>
        <w:ind w:firstLine="0" w:firstLineChars="0"/>
        <w:jc w:val="center"/>
        <w:rPr>
          <w:rFonts w:ascii="Times New Roman" w:hAnsi="宋体"/>
          <w:color w:val="000000" w:themeColor="text1"/>
        </w:rPr>
      </w:pPr>
      <w:r>
        <w:rPr>
          <w:rFonts w:hint="eastAsia" w:ascii="Times New Roman" w:hAnsi="宋体"/>
          <w:color w:val="000000" w:themeColor="text1"/>
        </w:rPr>
        <w:t>图14、起毛起球第一阶段（试验前设置、试验后）</w:t>
      </w:r>
    </w:p>
    <w:p>
      <w:pPr>
        <w:pStyle w:val="16"/>
        <w:ind w:firstLine="2520" w:firstLineChars="1200"/>
        <w:rPr>
          <w:rFonts w:ascii="Times New Roman" w:hAnsi="宋体"/>
          <w:color w:val="000000" w:themeColor="text1"/>
        </w:rPr>
      </w:pPr>
    </w:p>
    <w:p>
      <w:pPr>
        <w:pStyle w:val="16"/>
        <w:ind w:firstLine="0" w:firstLineChars="0"/>
        <w:jc w:val="center"/>
        <w:rPr>
          <w:rFonts w:ascii="Times New Roman" w:eastAsiaTheme="minorEastAsia"/>
          <w:snapToGrid w:val="0"/>
          <w:color w:val="000000"/>
          <w:w w:val="0"/>
          <w:sz w:val="0"/>
          <w:szCs w:val="0"/>
          <w:u w:color="000000"/>
          <w:shd w:val="clear" w:color="000000" w:fill="000000"/>
          <w:lang w:val="zh-CN" w:bidi="zh-CN"/>
        </w:rPr>
      </w:pPr>
      <w:r>
        <w:rPr>
          <w:rFonts w:ascii="Times New Roman" w:hAnsi="宋体"/>
          <w:color w:val="000000" w:themeColor="text1"/>
        </w:rPr>
        <w:drawing>
          <wp:inline distT="0" distB="0" distL="0" distR="0">
            <wp:extent cx="1833245" cy="2444750"/>
            <wp:effectExtent l="0" t="0" r="0" b="0"/>
            <wp:docPr id="65" name="图片 65" descr="C:\Users\ADMINI~1\AppData\Local\Temp\Rar$DIa8716.19999\第二阶段设置照片.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图片 65" descr="C:\Users\ADMINI~1\AppData\Local\Temp\Rar$DIa8716.19999\第二阶段设置照片.jpg"/>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a:xfrm>
                      <a:off x="0" y="0"/>
                      <a:ext cx="1842050" cy="2456069"/>
                    </a:xfrm>
                    <a:prstGeom prst="rect">
                      <a:avLst/>
                    </a:prstGeom>
                    <a:noFill/>
                    <a:ln>
                      <a:noFill/>
                    </a:ln>
                  </pic:spPr>
                </pic:pic>
              </a:graphicData>
            </a:graphic>
          </wp:inline>
        </w:drawing>
      </w:r>
      <w:r>
        <w:rPr>
          <w:rFonts w:ascii="Times New Roman" w:hAnsi="宋体"/>
          <w:color w:val="000000" w:themeColor="text1"/>
        </w:rPr>
        <w:drawing>
          <wp:inline distT="0" distB="0" distL="0" distR="0">
            <wp:extent cx="1835785" cy="2447925"/>
            <wp:effectExtent l="0" t="0" r="0" b="0"/>
            <wp:docPr id="66" name="图片 66" descr="C:\Users\ADMINI~1\AppData\Local\Temp\Rar$DIa8716.22856\第二阶段结束照片.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图片 66" descr="C:\Users\ADMINI~1\AppData\Local\Temp\Rar$DIa8716.22856\第二阶段结束照片.jpg"/>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a:xfrm>
                      <a:off x="0" y="0"/>
                      <a:ext cx="1836718" cy="2448957"/>
                    </a:xfrm>
                    <a:prstGeom prst="rect">
                      <a:avLst/>
                    </a:prstGeom>
                    <a:noFill/>
                    <a:ln>
                      <a:noFill/>
                    </a:ln>
                  </pic:spPr>
                </pic:pic>
              </a:graphicData>
            </a:graphic>
          </wp:inline>
        </w:drawing>
      </w:r>
    </w:p>
    <w:p>
      <w:pPr>
        <w:pStyle w:val="16"/>
        <w:ind w:firstLine="1470" w:firstLineChars="700"/>
        <w:rPr>
          <w:rFonts w:ascii="Times New Roman" w:hAnsi="宋体"/>
          <w:color w:val="000000" w:themeColor="text1"/>
        </w:rPr>
      </w:pPr>
      <w:r>
        <w:rPr>
          <w:rFonts w:hint="eastAsia" w:ascii="Times New Roman" w:hAnsi="宋体"/>
          <w:color w:val="000000" w:themeColor="text1"/>
        </w:rPr>
        <w:t>图15、起毛起球第二阶段（试验前设置、试验后）</w:t>
      </w:r>
    </w:p>
    <w:p>
      <w:pPr>
        <w:pStyle w:val="16"/>
        <w:ind w:firstLine="20"/>
        <w:jc w:val="center"/>
        <w:rPr>
          <w:rFonts w:ascii="Times New Roman" w:hAnsi="宋体"/>
          <w:color w:val="000000" w:themeColor="text1"/>
        </w:rPr>
      </w:pPr>
      <w:r>
        <w:rPr>
          <w:rFonts w:ascii="Times New Roman" w:eastAsiaTheme="minorEastAsia"/>
          <w:color w:val="000000"/>
          <w:w w:val="0"/>
          <w:sz w:val="0"/>
          <w:szCs w:val="0"/>
          <w:u w:color="000000"/>
          <w:shd w:val="clear" w:color="000000" w:fill="000000"/>
        </w:rPr>
        <w:drawing>
          <wp:inline distT="0" distB="0" distL="0" distR="0">
            <wp:extent cx="1847850" cy="2476500"/>
            <wp:effectExtent l="0" t="0" r="0" b="0"/>
            <wp:docPr id="67" name="图片 67" descr="C:\Users\ADMINI~1\AppData\Local\Temp\Rar$DIa8716.38128\第三阶段设置照片.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图片 67" descr="C:\Users\ADMINI~1\AppData\Local\Temp\Rar$DIa8716.38128\第三阶段设置照片.jpg"/>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a:xfrm>
                      <a:off x="0" y="0"/>
                      <a:ext cx="1847850" cy="2477544"/>
                    </a:xfrm>
                    <a:prstGeom prst="rect">
                      <a:avLst/>
                    </a:prstGeom>
                    <a:noFill/>
                    <a:ln>
                      <a:noFill/>
                    </a:ln>
                  </pic:spPr>
                </pic:pic>
              </a:graphicData>
            </a:graphic>
          </wp:inline>
        </w:drawing>
      </w:r>
      <w:r>
        <w:rPr>
          <w:rFonts w:ascii="Times New Roman" w:eastAsiaTheme="minorEastAsia"/>
          <w:color w:val="000000"/>
          <w:w w:val="0"/>
          <w:sz w:val="0"/>
          <w:szCs w:val="0"/>
          <w:u w:color="000000"/>
          <w:shd w:val="clear" w:color="000000" w:fill="000000"/>
        </w:rPr>
        <w:drawing>
          <wp:inline distT="0" distB="0" distL="0" distR="0">
            <wp:extent cx="1800225" cy="2400300"/>
            <wp:effectExtent l="0" t="0" r="9525" b="0"/>
            <wp:docPr id="68" name="图片 68" descr="C:\Users\ADMINI~1\AppData\Local\Temp\Rar$DIa8716.5590\第三阶段结束照片.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 name="图片 68" descr="C:\Users\ADMINI~1\AppData\Local\Temp\Rar$DIa8716.5590\第三阶段结束照片.jpg"/>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a:xfrm>
                      <a:off x="0" y="0"/>
                      <a:ext cx="1800225" cy="2400300"/>
                    </a:xfrm>
                    <a:prstGeom prst="rect">
                      <a:avLst/>
                    </a:prstGeom>
                    <a:noFill/>
                    <a:ln>
                      <a:noFill/>
                    </a:ln>
                  </pic:spPr>
                </pic:pic>
              </a:graphicData>
            </a:graphic>
          </wp:inline>
        </w:drawing>
      </w:r>
    </w:p>
    <w:p>
      <w:pPr>
        <w:pStyle w:val="16"/>
        <w:ind w:firstLine="0" w:firstLineChars="10200"/>
        <w:rPr>
          <w:rFonts w:ascii="Times New Roman" w:eastAsiaTheme="minorEastAsia"/>
          <w:snapToGrid w:val="0"/>
          <w:color w:val="000000"/>
          <w:w w:val="0"/>
          <w:sz w:val="0"/>
          <w:szCs w:val="0"/>
          <w:u w:color="000000"/>
          <w:shd w:val="clear" w:color="000000" w:fill="000000"/>
          <w:lang w:val="zh-CN" w:bidi="zh-CN"/>
        </w:rPr>
      </w:pPr>
    </w:p>
    <w:p>
      <w:pPr>
        <w:pStyle w:val="16"/>
        <w:ind w:firstLine="1470" w:firstLineChars="700"/>
        <w:rPr>
          <w:rFonts w:ascii="Times New Roman" w:hAnsi="宋体"/>
          <w:color w:val="000000" w:themeColor="text1"/>
        </w:rPr>
      </w:pPr>
      <w:r>
        <w:rPr>
          <w:rFonts w:hint="eastAsia" w:ascii="Times New Roman" w:hAnsi="宋体"/>
          <w:color w:val="000000" w:themeColor="text1"/>
        </w:rPr>
        <w:t>图16、起毛起球第三阶段（试验前设置、试验后）</w:t>
      </w:r>
    </w:p>
    <w:p>
      <w:pPr>
        <w:pStyle w:val="16"/>
        <w:ind w:firstLine="20"/>
        <w:jc w:val="center"/>
        <w:rPr>
          <w:rFonts w:ascii="Times New Roman" w:hAnsi="宋体"/>
          <w:color w:val="000000" w:themeColor="text1"/>
        </w:rPr>
      </w:pPr>
      <w:r>
        <w:rPr>
          <w:rFonts w:ascii="Times New Roman" w:eastAsiaTheme="minorEastAsia"/>
          <w:color w:val="000000"/>
          <w:w w:val="0"/>
          <w:sz w:val="0"/>
          <w:szCs w:val="0"/>
          <w:u w:color="000000"/>
          <w:shd w:val="clear" w:color="000000" w:fill="000000"/>
        </w:rPr>
        <w:drawing>
          <wp:inline distT="0" distB="0" distL="0" distR="0">
            <wp:extent cx="1885950" cy="2514600"/>
            <wp:effectExtent l="0" t="0" r="0" b="0"/>
            <wp:docPr id="69" name="图片 69" descr="C:\Users\ADMINI~1\AppData\Local\Temp\Rar$DIa8716.19503\第四阶段设置照片.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图片 69" descr="C:\Users\ADMINI~1\AppData\Local\Temp\Rar$DIa8716.19503\第四阶段设置照片.jpg"/>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a:xfrm>
                      <a:off x="0" y="0"/>
                      <a:ext cx="1886745" cy="2515660"/>
                    </a:xfrm>
                    <a:prstGeom prst="rect">
                      <a:avLst/>
                    </a:prstGeom>
                    <a:noFill/>
                    <a:ln>
                      <a:noFill/>
                    </a:ln>
                  </pic:spPr>
                </pic:pic>
              </a:graphicData>
            </a:graphic>
          </wp:inline>
        </w:drawing>
      </w:r>
      <w:r>
        <w:rPr>
          <w:rFonts w:ascii="Times New Roman" w:eastAsiaTheme="minorEastAsia"/>
          <w:color w:val="000000"/>
          <w:w w:val="0"/>
          <w:sz w:val="0"/>
          <w:szCs w:val="0"/>
          <w:u w:color="000000"/>
          <w:shd w:val="clear" w:color="000000" w:fill="000000"/>
        </w:rPr>
        <w:drawing>
          <wp:inline distT="0" distB="0" distL="0" distR="0">
            <wp:extent cx="1849755" cy="2466975"/>
            <wp:effectExtent l="0" t="0" r="17145" b="9525"/>
            <wp:docPr id="70" name="图片 70" descr="C:\Users\ADMINI~1\AppData\Local\Temp\Rar$DIa8716.22710\第四阶段结束照片.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 name="图片 70" descr="C:\Users\ADMINI~1\AppData\Local\Temp\Rar$DIa8716.22710\第四阶段结束照片.jpg"/>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a:xfrm>
                      <a:off x="0" y="0"/>
                      <a:ext cx="1851011" cy="2468015"/>
                    </a:xfrm>
                    <a:prstGeom prst="rect">
                      <a:avLst/>
                    </a:prstGeom>
                    <a:noFill/>
                    <a:ln>
                      <a:noFill/>
                    </a:ln>
                  </pic:spPr>
                </pic:pic>
              </a:graphicData>
            </a:graphic>
          </wp:inline>
        </w:drawing>
      </w:r>
    </w:p>
    <w:p>
      <w:pPr>
        <w:pStyle w:val="16"/>
        <w:ind w:firstLine="0" w:firstLineChars="10200"/>
        <w:rPr>
          <w:rFonts w:ascii="Times New Roman" w:eastAsiaTheme="minorEastAsia"/>
          <w:snapToGrid w:val="0"/>
          <w:color w:val="000000"/>
          <w:w w:val="0"/>
          <w:sz w:val="0"/>
          <w:szCs w:val="0"/>
          <w:u w:color="000000"/>
          <w:shd w:val="clear" w:color="000000" w:fill="000000"/>
          <w:lang w:val="zh-CN" w:bidi="zh-CN"/>
        </w:rPr>
      </w:pPr>
    </w:p>
    <w:p>
      <w:pPr>
        <w:pStyle w:val="16"/>
        <w:ind w:firstLine="1470" w:firstLineChars="700"/>
        <w:rPr>
          <w:rFonts w:ascii="Times New Roman" w:hAnsi="宋体"/>
          <w:color w:val="000000" w:themeColor="text1"/>
        </w:rPr>
      </w:pPr>
      <w:r>
        <w:rPr>
          <w:rFonts w:hint="eastAsia" w:ascii="Times New Roman" w:hAnsi="宋体"/>
          <w:color w:val="000000" w:themeColor="text1"/>
        </w:rPr>
        <w:t>图17、起毛起球第四阶段（试验前设置、试验后）</w:t>
      </w:r>
    </w:p>
    <w:p>
      <w:pPr>
        <w:pStyle w:val="16"/>
        <w:ind w:firstLine="1470" w:firstLineChars="700"/>
        <w:rPr>
          <w:rFonts w:ascii="Times New Roman" w:hAnsi="宋体"/>
          <w:color w:val="000000" w:themeColor="text1"/>
        </w:rPr>
      </w:pPr>
    </w:p>
    <w:p>
      <w:pPr>
        <w:pStyle w:val="16"/>
        <w:ind w:firstLine="1470" w:firstLineChars="700"/>
        <w:rPr>
          <w:rFonts w:ascii="Times New Roman" w:hAnsi="宋体"/>
          <w:color w:val="000000" w:themeColor="text1"/>
        </w:rPr>
      </w:pPr>
    </w:p>
    <w:p>
      <w:pPr>
        <w:pStyle w:val="16"/>
        <w:ind w:firstLine="0" w:firstLineChars="0"/>
        <w:jc w:val="center"/>
        <w:rPr>
          <w:rFonts w:ascii="Times New Roman" w:eastAsiaTheme="minorEastAsia"/>
          <w:snapToGrid w:val="0"/>
          <w:color w:val="000000"/>
          <w:w w:val="0"/>
          <w:sz w:val="0"/>
          <w:szCs w:val="0"/>
          <w:u w:color="000000"/>
          <w:shd w:val="clear" w:color="000000" w:fill="000000"/>
          <w:lang w:val="zh-CN" w:bidi="zh-CN"/>
        </w:rPr>
      </w:pPr>
      <w:r>
        <w:rPr>
          <w:rFonts w:ascii="Times New Roman" w:hAnsi="宋体"/>
          <w:color w:val="000000" w:themeColor="text1"/>
        </w:rPr>
        <w:drawing>
          <wp:inline distT="0" distB="0" distL="0" distR="0">
            <wp:extent cx="1924050" cy="2565400"/>
            <wp:effectExtent l="0" t="0" r="0" b="6350"/>
            <wp:docPr id="71" name="图片 71" descr="C:\Users\ADMINI~1\AppData\Local\Temp\Rar$DIa8716.30232\第五阶段设置照片.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图片 71" descr="C:\Users\ADMINI~1\AppData\Local\Temp\Rar$DIa8716.30232\第五阶段设置照片.jpg"/>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a:xfrm>
                      <a:off x="0" y="0"/>
                      <a:ext cx="1926278" cy="2568371"/>
                    </a:xfrm>
                    <a:prstGeom prst="rect">
                      <a:avLst/>
                    </a:prstGeom>
                    <a:noFill/>
                    <a:ln>
                      <a:noFill/>
                    </a:ln>
                  </pic:spPr>
                </pic:pic>
              </a:graphicData>
            </a:graphic>
          </wp:inline>
        </w:drawing>
      </w:r>
      <w:r>
        <w:rPr>
          <w:rFonts w:ascii="Times New Roman" w:hAnsi="宋体"/>
          <w:color w:val="000000" w:themeColor="text1"/>
        </w:rPr>
        <w:drawing>
          <wp:inline distT="0" distB="0" distL="0" distR="0">
            <wp:extent cx="1924050" cy="2565400"/>
            <wp:effectExtent l="0" t="0" r="0" b="6350"/>
            <wp:docPr id="72" name="图片 72" descr="C:\Users\ADMINI~1\AppData\Local\Temp\Rar$DIa8716.30417\第五阶段结束照片.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 name="图片 72" descr="C:\Users\ADMINI~1\AppData\Local\Temp\Rar$DIa8716.30417\第五阶段结束照片.jpg"/>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a:xfrm>
                      <a:off x="0" y="0"/>
                      <a:ext cx="1927355" cy="2569807"/>
                    </a:xfrm>
                    <a:prstGeom prst="rect">
                      <a:avLst/>
                    </a:prstGeom>
                    <a:noFill/>
                    <a:ln>
                      <a:noFill/>
                    </a:ln>
                  </pic:spPr>
                </pic:pic>
              </a:graphicData>
            </a:graphic>
          </wp:inline>
        </w:drawing>
      </w:r>
    </w:p>
    <w:p>
      <w:pPr>
        <w:pStyle w:val="16"/>
        <w:ind w:firstLine="0" w:firstLineChars="0"/>
        <w:jc w:val="center"/>
        <w:rPr>
          <w:rFonts w:ascii="Times New Roman" w:hAnsi="宋体"/>
          <w:color w:val="000000" w:themeColor="text1"/>
        </w:rPr>
      </w:pPr>
      <w:r>
        <w:rPr>
          <w:rFonts w:hint="eastAsia" w:ascii="Times New Roman" w:hAnsi="宋体"/>
          <w:color w:val="000000" w:themeColor="text1"/>
        </w:rPr>
        <w:t>图18、起毛起球第五阶段（试验前设置、试验后）</w:t>
      </w:r>
    </w:p>
    <w:p>
      <w:pPr>
        <w:pStyle w:val="16"/>
        <w:ind w:firstLine="0" w:firstLineChars="0"/>
        <w:jc w:val="center"/>
        <w:rPr>
          <w:rFonts w:ascii="Times New Roman" w:eastAsiaTheme="minorEastAsia"/>
          <w:snapToGrid w:val="0"/>
          <w:color w:val="000000"/>
          <w:w w:val="0"/>
          <w:sz w:val="0"/>
          <w:szCs w:val="0"/>
          <w:u w:color="000000"/>
          <w:shd w:val="clear" w:color="000000" w:fill="000000"/>
          <w:lang w:val="zh-CN" w:bidi="zh-CN"/>
        </w:rPr>
      </w:pPr>
      <w:r>
        <w:rPr>
          <w:rFonts w:ascii="Times New Roman" w:hAnsi="宋体"/>
          <w:color w:val="000000" w:themeColor="text1"/>
        </w:rPr>
        <w:drawing>
          <wp:inline distT="0" distB="0" distL="0" distR="0">
            <wp:extent cx="1892935" cy="2524125"/>
            <wp:effectExtent l="0" t="0" r="0" b="0"/>
            <wp:docPr id="73" name="图片 73" descr="C:\Users\ADMINI~1\AppData\Local\Temp\Rar$DIa8716.40292\第六阶段设置照片.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 name="图片 73" descr="C:\Users\ADMINI~1\AppData\Local\Temp\Rar$DIa8716.40292\第六阶段设置照片.jpg"/>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a:xfrm>
                      <a:off x="0" y="0"/>
                      <a:ext cx="1901378" cy="2535170"/>
                    </a:xfrm>
                    <a:prstGeom prst="rect">
                      <a:avLst/>
                    </a:prstGeom>
                    <a:noFill/>
                    <a:ln>
                      <a:noFill/>
                    </a:ln>
                  </pic:spPr>
                </pic:pic>
              </a:graphicData>
            </a:graphic>
          </wp:inline>
        </w:drawing>
      </w:r>
      <w:r>
        <w:rPr>
          <w:rFonts w:ascii="Times New Roman" w:hAnsi="宋体"/>
          <w:color w:val="000000" w:themeColor="text1"/>
        </w:rPr>
        <w:drawing>
          <wp:inline distT="0" distB="0" distL="0" distR="0">
            <wp:extent cx="1892935" cy="2524125"/>
            <wp:effectExtent l="0" t="0" r="0" b="0"/>
            <wp:docPr id="74" name="图片 74" descr="C:\Users\ADMINI~1\AppData\Local\Temp\Rar$DIa8716.47540\第六阶段结束照片.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 name="图片 74" descr="C:\Users\ADMINI~1\AppData\Local\Temp\Rar$DIa8716.47540\第六阶段结束照片.jpg"/>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a:xfrm>
                      <a:off x="0" y="0"/>
                      <a:ext cx="1893892" cy="2525189"/>
                    </a:xfrm>
                    <a:prstGeom prst="rect">
                      <a:avLst/>
                    </a:prstGeom>
                    <a:noFill/>
                    <a:ln>
                      <a:noFill/>
                    </a:ln>
                  </pic:spPr>
                </pic:pic>
              </a:graphicData>
            </a:graphic>
          </wp:inline>
        </w:drawing>
      </w:r>
    </w:p>
    <w:p>
      <w:pPr>
        <w:pStyle w:val="16"/>
        <w:ind w:firstLine="0" w:firstLineChars="0"/>
        <w:jc w:val="center"/>
        <w:rPr>
          <w:rFonts w:ascii="Times New Roman" w:hAnsi="宋体"/>
          <w:color w:val="000000" w:themeColor="text1"/>
        </w:rPr>
      </w:pPr>
      <w:r>
        <w:rPr>
          <w:rFonts w:hint="eastAsia" w:ascii="Times New Roman" w:hAnsi="宋体"/>
          <w:color w:val="000000" w:themeColor="text1"/>
        </w:rPr>
        <w:t>图19、起毛起球第六阶段（试验前设置、试验后）</w:t>
      </w:r>
    </w:p>
    <w:p>
      <w:pPr>
        <w:pStyle w:val="16"/>
        <w:spacing w:line="440" w:lineRule="exact"/>
        <w:ind w:firstLine="482"/>
        <w:rPr>
          <w:rFonts w:ascii="Times New Roman"/>
          <w:b/>
          <w:kern w:val="2"/>
          <w:sz w:val="24"/>
          <w:szCs w:val="24"/>
        </w:rPr>
      </w:pPr>
      <w:r>
        <w:rPr>
          <w:rFonts w:hint="eastAsia" w:ascii="Times New Roman"/>
          <w:b/>
          <w:kern w:val="2"/>
          <w:sz w:val="24"/>
          <w:szCs w:val="24"/>
        </w:rPr>
        <w:t>5、</w:t>
      </w:r>
      <w:r>
        <w:rPr>
          <w:rFonts w:ascii="Times New Roman"/>
          <w:b/>
          <w:kern w:val="2"/>
          <w:sz w:val="24"/>
          <w:szCs w:val="24"/>
        </w:rPr>
        <w:t>背松动量、背剩余松动量</w:t>
      </w:r>
      <w:r>
        <w:rPr>
          <w:rFonts w:hint="eastAsia" w:ascii="Times New Roman"/>
          <w:b/>
          <w:kern w:val="2"/>
          <w:sz w:val="24"/>
          <w:szCs w:val="24"/>
        </w:rPr>
        <w:t>的</w:t>
      </w:r>
      <w:r>
        <w:rPr>
          <w:rFonts w:ascii="Times New Roman"/>
          <w:b/>
          <w:kern w:val="2"/>
          <w:sz w:val="24"/>
          <w:szCs w:val="24"/>
        </w:rPr>
        <w:t>测量</w:t>
      </w:r>
    </w:p>
    <w:p>
      <w:pPr>
        <w:pStyle w:val="16"/>
        <w:spacing w:line="440" w:lineRule="exact"/>
        <w:ind w:firstLine="480"/>
        <w:rPr>
          <w:rFonts w:hAnsi="宋体"/>
          <w:sz w:val="24"/>
          <w:szCs w:val="24"/>
        </w:rPr>
      </w:pPr>
      <w:r>
        <w:rPr>
          <w:sz w:val="24"/>
          <w:szCs w:val="24"/>
        </w:rPr>
        <w:t>背松动量、背剩余松动量测量方法</w:t>
      </w:r>
      <w:r>
        <w:rPr>
          <w:rFonts w:hint="eastAsia"/>
          <w:sz w:val="24"/>
          <w:szCs w:val="24"/>
        </w:rPr>
        <w:t>。采用CMD测量装置进行测量，CMD测量装置应符合GB/T 38733-2020的规定，见图1～3。</w:t>
      </w:r>
    </w:p>
    <w:p>
      <w:pPr>
        <w:pStyle w:val="3"/>
        <w:spacing w:line="360" w:lineRule="auto"/>
      </w:pPr>
      <w:r>
        <w:rPr>
          <w:rFonts w:hint="eastAsia" w:hAnsi="宋体"/>
        </w:rPr>
        <w:t>四、</w:t>
      </w:r>
      <w:r>
        <w:rPr>
          <w:rFonts w:hAnsi="宋体"/>
        </w:rPr>
        <w:t>标注中如果涉及专利，应有明确的知识产权说明</w:t>
      </w:r>
    </w:p>
    <w:p>
      <w:pPr>
        <w:spacing w:line="360" w:lineRule="auto"/>
        <w:ind w:firstLine="480" w:firstLineChars="200"/>
        <w:rPr>
          <w:sz w:val="24"/>
        </w:rPr>
      </w:pPr>
      <w:r>
        <w:rPr>
          <w:rFonts w:hint="eastAsia" w:ascii="宋体" w:hAnsi="宋体"/>
          <w:kern w:val="0"/>
          <w:sz w:val="24"/>
        </w:rPr>
        <w:t>没有发现标准内容涉及专利。</w:t>
      </w:r>
    </w:p>
    <w:p>
      <w:pPr>
        <w:pStyle w:val="3"/>
        <w:spacing w:line="360" w:lineRule="auto"/>
        <w:rPr>
          <w:rFonts w:hAnsi="宋体"/>
        </w:rPr>
      </w:pPr>
      <w:r>
        <w:rPr>
          <w:rFonts w:hint="eastAsia"/>
        </w:rPr>
        <w:t>五、</w:t>
      </w:r>
      <w:r>
        <w:rPr>
          <w:rFonts w:hAnsi="宋体"/>
        </w:rPr>
        <w:t>产业化情况、推广应用论证和预期达到的经济效果等情况</w:t>
      </w:r>
    </w:p>
    <w:p>
      <w:pPr>
        <w:spacing w:beforeLines="50" w:afterLines="50" w:line="440" w:lineRule="exact"/>
        <w:ind w:firstLine="480" w:firstLineChars="200"/>
        <w:rPr>
          <w:b/>
          <w:bCs/>
          <w:sz w:val="24"/>
        </w:rPr>
      </w:pPr>
      <w:r>
        <w:rPr>
          <w:rFonts w:hint="eastAsia"/>
          <w:sz w:val="24"/>
        </w:rPr>
        <w:t>将进一步规范沙发市场，提高沙发类产品的质量，给沙发类产品的设计、生产、销售、售后、质检、仲裁等提供依据，使沙发类产品市场更加秩序化、规范化，有利于沙发类产品的质量水平的提高及沙发生产企业的国际竞争力。</w:t>
      </w:r>
    </w:p>
    <w:p>
      <w:pPr>
        <w:spacing w:beforeLines="50" w:line="360" w:lineRule="auto"/>
        <w:rPr>
          <w:b/>
          <w:sz w:val="24"/>
        </w:rPr>
      </w:pPr>
      <w:r>
        <w:rPr>
          <w:rFonts w:hint="eastAsia"/>
          <w:b/>
          <w:sz w:val="24"/>
        </w:rPr>
        <w:t>六</w:t>
      </w:r>
      <w:r>
        <w:rPr>
          <w:b/>
          <w:sz w:val="24"/>
        </w:rPr>
        <w:t>、采用国际标准和国外先进标准的程度</w:t>
      </w:r>
    </w:p>
    <w:p>
      <w:pPr>
        <w:spacing w:beforeLines="50" w:line="360" w:lineRule="auto"/>
        <w:ind w:firstLine="480" w:firstLineChars="200"/>
        <w:rPr>
          <w:sz w:val="24"/>
        </w:rPr>
      </w:pPr>
      <w:r>
        <w:rPr>
          <w:rFonts w:hint="eastAsia"/>
          <w:sz w:val="24"/>
        </w:rPr>
        <w:t>经查阅，目前国外尚无沙发类产品质量分级方面的标准，因此，本次制定的标准没有采用国际或国外先进标准。</w:t>
      </w:r>
    </w:p>
    <w:p>
      <w:pPr>
        <w:spacing w:beforeLines="50" w:line="360" w:lineRule="auto"/>
        <w:rPr>
          <w:b/>
          <w:sz w:val="24"/>
        </w:rPr>
      </w:pPr>
      <w:r>
        <w:rPr>
          <w:rFonts w:hint="eastAsia"/>
          <w:b/>
          <w:sz w:val="24"/>
        </w:rPr>
        <w:t>七</w:t>
      </w:r>
      <w:r>
        <w:rPr>
          <w:b/>
          <w:sz w:val="24"/>
        </w:rPr>
        <w:t>、与有关现行法律、法规和强制性国家标准（行业标准）的关系</w:t>
      </w:r>
    </w:p>
    <w:p>
      <w:pPr>
        <w:pStyle w:val="16"/>
        <w:tabs>
          <w:tab w:val="center" w:pos="4201"/>
          <w:tab w:val="right" w:leader="dot" w:pos="9298"/>
        </w:tabs>
        <w:spacing w:line="360" w:lineRule="auto"/>
        <w:ind w:firstLine="480"/>
        <w:rPr>
          <w:rFonts w:ascii="Times New Roman"/>
          <w:sz w:val="24"/>
          <w:szCs w:val="24"/>
        </w:rPr>
      </w:pPr>
      <w:r>
        <w:rPr>
          <w:rFonts w:hint="eastAsia"/>
          <w:sz w:val="24"/>
          <w:szCs w:val="24"/>
        </w:rPr>
        <w:t>所有技术指标均与国内现行最新要求保持一致，没有采用国际标准和国外先进标准。</w:t>
      </w:r>
    </w:p>
    <w:p>
      <w:pPr>
        <w:spacing w:beforeLines="50" w:line="360" w:lineRule="auto"/>
        <w:rPr>
          <w:b/>
          <w:sz w:val="24"/>
        </w:rPr>
      </w:pPr>
      <w:r>
        <w:rPr>
          <w:rFonts w:hint="eastAsia"/>
          <w:b/>
          <w:sz w:val="24"/>
        </w:rPr>
        <w:t>八</w:t>
      </w:r>
      <w:r>
        <w:rPr>
          <w:b/>
          <w:sz w:val="24"/>
        </w:rPr>
        <w:t>、重大分歧意见的处理经过和依据</w:t>
      </w:r>
    </w:p>
    <w:p>
      <w:pPr>
        <w:spacing w:beforeLines="50" w:line="360" w:lineRule="auto"/>
        <w:rPr>
          <w:sz w:val="24"/>
        </w:rPr>
      </w:pPr>
      <w:r>
        <w:rPr>
          <w:sz w:val="24"/>
        </w:rPr>
        <w:t>无重大分歧意见。</w:t>
      </w:r>
    </w:p>
    <w:p>
      <w:pPr>
        <w:spacing w:beforeLines="50" w:line="360" w:lineRule="auto"/>
        <w:rPr>
          <w:b/>
          <w:sz w:val="24"/>
        </w:rPr>
      </w:pPr>
      <w:r>
        <w:rPr>
          <w:rFonts w:hint="eastAsia"/>
          <w:b/>
          <w:sz w:val="24"/>
        </w:rPr>
        <w:t>九</w:t>
      </w:r>
      <w:r>
        <w:rPr>
          <w:b/>
          <w:sz w:val="24"/>
        </w:rPr>
        <w:t>、推荐性标准建议</w:t>
      </w:r>
    </w:p>
    <w:p>
      <w:pPr>
        <w:spacing w:beforeLines="50" w:line="360" w:lineRule="auto"/>
        <w:ind w:firstLine="480" w:firstLineChars="200"/>
        <w:rPr>
          <w:sz w:val="24"/>
        </w:rPr>
      </w:pPr>
      <w:r>
        <w:rPr>
          <w:sz w:val="24"/>
        </w:rPr>
        <w:t>本标准作为推荐性</w:t>
      </w:r>
      <w:r>
        <w:rPr>
          <w:rFonts w:hint="eastAsia"/>
          <w:sz w:val="24"/>
        </w:rPr>
        <w:t>团体</w:t>
      </w:r>
      <w:r>
        <w:rPr>
          <w:sz w:val="24"/>
        </w:rPr>
        <w:t>标准。</w:t>
      </w:r>
    </w:p>
    <w:p>
      <w:pPr>
        <w:spacing w:beforeLines="50" w:line="360" w:lineRule="auto"/>
        <w:rPr>
          <w:sz w:val="24"/>
        </w:rPr>
      </w:pPr>
      <w:r>
        <w:rPr>
          <w:rFonts w:hint="eastAsia"/>
          <w:b/>
          <w:sz w:val="24"/>
        </w:rPr>
        <w:t>十</w:t>
      </w:r>
      <w:r>
        <w:rPr>
          <w:b/>
          <w:sz w:val="24"/>
        </w:rPr>
        <w:t>、贯彻标准的要求、措施和建议</w:t>
      </w:r>
    </w:p>
    <w:p>
      <w:pPr>
        <w:spacing w:beforeLines="50" w:line="360" w:lineRule="auto"/>
        <w:ind w:firstLine="240" w:firstLineChars="100"/>
        <w:rPr>
          <w:rFonts w:hAnsi="宋体"/>
          <w:sz w:val="24"/>
        </w:rPr>
      </w:pPr>
      <w:r>
        <w:rPr>
          <w:rFonts w:hint="eastAsia" w:hAnsi="宋体"/>
          <w:sz w:val="24"/>
        </w:rPr>
        <w:t>标准制定后相关技术要求应尽早推广，加强生产企业的标准宣贯工作，引导企业组织内部生产工艺改进；检验部门可采纳本标准检验项目和方法，维护消费者权益，监督和促进生产企业。建议归口管理部门或中国家具协会组织团体标准宣贯。建议该标准发布后6个月实施。</w:t>
      </w:r>
    </w:p>
    <w:p>
      <w:pPr>
        <w:spacing w:beforeLines="50" w:line="360" w:lineRule="auto"/>
        <w:rPr>
          <w:b/>
          <w:sz w:val="24"/>
        </w:rPr>
      </w:pPr>
      <w:r>
        <w:rPr>
          <w:rFonts w:hint="eastAsia"/>
          <w:b/>
          <w:sz w:val="24"/>
        </w:rPr>
        <w:t>十一、</w:t>
      </w:r>
      <w:r>
        <w:rPr>
          <w:b/>
          <w:sz w:val="24"/>
        </w:rPr>
        <w:t>代替现行标准</w:t>
      </w:r>
    </w:p>
    <w:p>
      <w:pPr>
        <w:spacing w:beforeLines="50" w:line="360" w:lineRule="auto"/>
        <w:ind w:firstLine="480" w:firstLineChars="200"/>
        <w:rPr>
          <w:rFonts w:hAnsi="宋体"/>
          <w:sz w:val="24"/>
        </w:rPr>
      </w:pPr>
      <w:r>
        <w:rPr>
          <w:rFonts w:hint="eastAsia" w:hAnsi="宋体"/>
          <w:sz w:val="24"/>
        </w:rPr>
        <w:t>本标准为首次制定。无废止其他相关标准建议意见。</w:t>
      </w:r>
    </w:p>
    <w:p>
      <w:pPr>
        <w:pStyle w:val="3"/>
        <w:spacing w:line="360" w:lineRule="auto"/>
      </w:pPr>
      <w:r>
        <w:rPr>
          <w:rFonts w:hint="eastAsia"/>
        </w:rPr>
        <w:t>十二、</w:t>
      </w:r>
      <w:r>
        <w:rPr>
          <w:rFonts w:hAnsi="宋体"/>
        </w:rPr>
        <w:t>其他应予说明的事项</w:t>
      </w:r>
    </w:p>
    <w:p>
      <w:pPr>
        <w:spacing w:line="360" w:lineRule="auto"/>
        <w:ind w:firstLine="480" w:firstLineChars="200"/>
        <w:rPr>
          <w:sz w:val="24"/>
        </w:rPr>
      </w:pPr>
      <w:r>
        <w:rPr>
          <w:rFonts w:hAnsi="宋体"/>
          <w:sz w:val="24"/>
        </w:rPr>
        <w:t>无。</w:t>
      </w:r>
    </w:p>
    <w:p>
      <w:pPr>
        <w:spacing w:beforeLines="50" w:line="360" w:lineRule="auto"/>
        <w:ind w:firstLine="480" w:firstLineChars="200"/>
        <w:jc w:val="right"/>
        <w:rPr>
          <w:sz w:val="24"/>
        </w:rPr>
      </w:pPr>
      <w:r>
        <w:rPr>
          <w:sz w:val="24"/>
        </w:rPr>
        <w:t>　　</w:t>
      </w:r>
      <w:r>
        <w:rPr>
          <w:rFonts w:hAnsi="宋体"/>
          <w:sz w:val="24"/>
        </w:rPr>
        <w:t>《</w:t>
      </w:r>
      <w:r>
        <w:rPr>
          <w:rFonts w:hint="eastAsia"/>
          <w:sz w:val="24"/>
          <w:lang w:val="en-US" w:eastAsia="zh-CN"/>
        </w:rPr>
        <w:t>沙发质量安全等级评定</w:t>
      </w:r>
      <w:bookmarkStart w:id="0" w:name="_GoBack"/>
      <w:bookmarkEnd w:id="0"/>
      <w:r>
        <w:rPr>
          <w:rFonts w:hAnsi="宋体"/>
          <w:sz w:val="24"/>
        </w:rPr>
        <w:t>》</w:t>
      </w:r>
      <w:r>
        <w:rPr>
          <w:rFonts w:hint="eastAsia" w:hAnsi="宋体"/>
          <w:sz w:val="24"/>
        </w:rPr>
        <w:t>团体</w:t>
      </w:r>
      <w:r>
        <w:rPr>
          <w:rFonts w:hAnsi="宋体"/>
          <w:sz w:val="24"/>
        </w:rPr>
        <w:t>标准起草小组</w:t>
      </w:r>
      <w:r>
        <w:rPr>
          <w:rFonts w:hint="eastAsia" w:hAnsi="宋体"/>
          <w:sz w:val="24"/>
        </w:rPr>
        <w:t>。</w:t>
      </w:r>
    </w:p>
    <w:p>
      <w:pPr>
        <w:spacing w:beforeLines="50" w:line="360" w:lineRule="auto"/>
        <w:ind w:firstLine="6480" w:firstLineChars="2700"/>
      </w:pPr>
      <w:r>
        <w:rPr>
          <w:sz w:val="24"/>
        </w:rPr>
        <w:t>20</w:t>
      </w:r>
      <w:r>
        <w:rPr>
          <w:rFonts w:hint="eastAsia"/>
          <w:sz w:val="24"/>
        </w:rPr>
        <w:t>21</w:t>
      </w:r>
      <w:r>
        <w:rPr>
          <w:sz w:val="24"/>
        </w:rPr>
        <w:t>年7月</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Verdana">
    <w:panose1 w:val="020B0604030504040204"/>
    <w:charset w:val="00"/>
    <w:family w:val="swiss"/>
    <w:pitch w:val="default"/>
    <w:sig w:usb0="A00006FF" w:usb1="4000205B" w:usb2="00000010" w:usb3="00000000" w:csb0="2000019F" w:csb1="00000000"/>
  </w:font>
  <w:font w:name="仿宋_GB2312">
    <w:altName w:val="仿宋"/>
    <w:panose1 w:val="00000000000000000000"/>
    <w:charset w:val="86"/>
    <w:family w:val="roman"/>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0621814"/>
    <w:multiLevelType w:val="singleLevel"/>
    <w:tmpl w:val="D0621814"/>
    <w:lvl w:ilvl="0" w:tentative="0">
      <w:start w:val="3"/>
      <w:numFmt w:val="decimal"/>
      <w:suff w:val="nothing"/>
      <w:lvlText w:val="（%1）"/>
      <w:lvlJc w:val="left"/>
    </w:lvl>
  </w:abstractNum>
  <w:abstractNum w:abstractNumId="1">
    <w:nsid w:val="FF07E494"/>
    <w:multiLevelType w:val="singleLevel"/>
    <w:tmpl w:val="FF07E494"/>
    <w:lvl w:ilvl="0" w:tentative="0">
      <w:start w:val="2"/>
      <w:numFmt w:val="decimal"/>
      <w:suff w:val="nothing"/>
      <w:lvlText w:val="%1、"/>
      <w:lvlJc w:val="left"/>
    </w:lvl>
  </w:abstractNum>
  <w:abstractNum w:abstractNumId="2">
    <w:nsid w:val="1006646C"/>
    <w:multiLevelType w:val="multilevel"/>
    <w:tmpl w:val="1006646C"/>
    <w:lvl w:ilvl="0" w:tentative="0">
      <w:start w:val="1"/>
      <w:numFmt w:val="japaneseCounting"/>
      <w:lvlText w:val="%1、"/>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
    <w:nsid w:val="6CEA2025"/>
    <w:multiLevelType w:val="multilevel"/>
    <w:tmpl w:val="6CEA2025"/>
    <w:lvl w:ilvl="0" w:tentative="0">
      <w:start w:val="1"/>
      <w:numFmt w:val="none"/>
      <w:pStyle w:val="20"/>
      <w:suff w:val="nothing"/>
      <w:lvlText w:val="%1"/>
      <w:lvlJc w:val="left"/>
      <w:pPr>
        <w:ind w:left="0" w:firstLine="0"/>
      </w:pPr>
      <w:rPr>
        <w:rFonts w:hint="default" w:ascii="Times New Roman" w:hAnsi="Times New Roman"/>
        <w:b/>
        <w:i w:val="0"/>
        <w:sz w:val="21"/>
      </w:rPr>
    </w:lvl>
    <w:lvl w:ilvl="1" w:tentative="0">
      <w:start w:val="1"/>
      <w:numFmt w:val="decimal"/>
      <w:pStyle w:val="21"/>
      <w:suff w:val="nothing"/>
      <w:lvlText w:val="%1%2　"/>
      <w:lvlJc w:val="left"/>
      <w:pPr>
        <w:ind w:left="0" w:firstLine="0"/>
      </w:pPr>
      <w:rPr>
        <w:rFonts w:hint="eastAsia" w:ascii="黑体" w:hAnsi="Times New Roman" w:eastAsia="黑体"/>
        <w:b w:val="0"/>
        <w:i w:val="0"/>
        <w:sz w:val="21"/>
      </w:rPr>
    </w:lvl>
    <w:lvl w:ilvl="2" w:tentative="0">
      <w:start w:val="1"/>
      <w:numFmt w:val="decimal"/>
      <w:pStyle w:val="22"/>
      <w:suff w:val="nothing"/>
      <w:lvlText w:val="%1%2.%3　"/>
      <w:lvlJc w:val="left"/>
      <w:pPr>
        <w:ind w:left="0" w:firstLine="0"/>
      </w:pPr>
      <w:rPr>
        <w:rFonts w:hint="eastAsia" w:ascii="黑体" w:hAnsi="Times New Roman" w:eastAsia="黑体"/>
        <w:b w:val="0"/>
        <w:i w:val="0"/>
        <w:sz w:val="21"/>
      </w:rPr>
    </w:lvl>
    <w:lvl w:ilvl="3" w:tentative="0">
      <w:start w:val="1"/>
      <w:numFmt w:val="decimal"/>
      <w:pStyle w:val="23"/>
      <w:suff w:val="nothing"/>
      <w:lvlText w:val="%1%2.%3.%4　"/>
      <w:lvlJc w:val="left"/>
      <w:pPr>
        <w:ind w:left="0" w:firstLine="0"/>
      </w:pPr>
      <w:rPr>
        <w:rFonts w:hint="eastAsia" w:ascii="黑体" w:hAnsi="Times New Roman" w:eastAsia="黑体"/>
        <w:b w:val="0"/>
        <w:i w:val="0"/>
        <w:sz w:val="21"/>
      </w:rPr>
    </w:lvl>
    <w:lvl w:ilvl="4" w:tentative="0">
      <w:start w:val="1"/>
      <w:numFmt w:val="decimal"/>
      <w:pStyle w:val="24"/>
      <w:suff w:val="nothing"/>
      <w:lvlText w:val="%1%2.%3.%4.%5　"/>
      <w:lvlJc w:val="left"/>
      <w:pPr>
        <w:ind w:left="0" w:firstLine="0"/>
      </w:pPr>
      <w:rPr>
        <w:rFonts w:hint="eastAsia" w:ascii="黑体" w:hAnsi="Times New Roman" w:eastAsia="黑体"/>
        <w:b w:val="0"/>
        <w:i w:val="0"/>
        <w:sz w:val="21"/>
      </w:rPr>
    </w:lvl>
    <w:lvl w:ilvl="5" w:tentative="0">
      <w:start w:val="1"/>
      <w:numFmt w:val="decimal"/>
      <w:pStyle w:val="25"/>
      <w:suff w:val="nothing"/>
      <w:lvlText w:val="%1%2.%3.%4.%5.%6　"/>
      <w:lvlJc w:val="left"/>
      <w:pPr>
        <w:ind w:left="0" w:firstLine="0"/>
      </w:pPr>
      <w:rPr>
        <w:rFonts w:hint="eastAsia" w:ascii="黑体" w:hAnsi="Times New Roman" w:eastAsia="黑体"/>
        <w:b w:val="0"/>
        <w:i w:val="0"/>
        <w:sz w:val="21"/>
      </w:rPr>
    </w:lvl>
    <w:lvl w:ilvl="6" w:tentative="0">
      <w:start w:val="1"/>
      <w:numFmt w:val="decimal"/>
      <w:pStyle w:val="26"/>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num w:numId="1">
    <w:abstractNumId w:val="3"/>
  </w:num>
  <w:num w:numId="2">
    <w:abstractNumId w:val="2"/>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bordersDoNotSurroundHeader w:val="1"/>
  <w:bordersDoNotSurroundFooter w:val="1"/>
  <w:documentProtection w:enforcement="0"/>
  <w:defaultTabStop w:val="420"/>
  <w:drawingGridHorizontalSpacing w:val="105"/>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EC5E9A"/>
    <w:rsid w:val="000036AD"/>
    <w:rsid w:val="00007A95"/>
    <w:rsid w:val="0001083E"/>
    <w:rsid w:val="00020198"/>
    <w:rsid w:val="00020E04"/>
    <w:rsid w:val="00022FA1"/>
    <w:rsid w:val="00026213"/>
    <w:rsid w:val="00033514"/>
    <w:rsid w:val="0003661D"/>
    <w:rsid w:val="00046551"/>
    <w:rsid w:val="00047C07"/>
    <w:rsid w:val="00047E4F"/>
    <w:rsid w:val="000519EB"/>
    <w:rsid w:val="00055905"/>
    <w:rsid w:val="00056883"/>
    <w:rsid w:val="00064D75"/>
    <w:rsid w:val="00065055"/>
    <w:rsid w:val="00065231"/>
    <w:rsid w:val="000662B7"/>
    <w:rsid w:val="0007127D"/>
    <w:rsid w:val="0007162C"/>
    <w:rsid w:val="00075CB6"/>
    <w:rsid w:val="00076AB1"/>
    <w:rsid w:val="00077A13"/>
    <w:rsid w:val="00083801"/>
    <w:rsid w:val="00087FB4"/>
    <w:rsid w:val="00092F51"/>
    <w:rsid w:val="00094992"/>
    <w:rsid w:val="000A1B66"/>
    <w:rsid w:val="000B06B2"/>
    <w:rsid w:val="000C5E25"/>
    <w:rsid w:val="000C70F4"/>
    <w:rsid w:val="000C7CF8"/>
    <w:rsid w:val="000D0B19"/>
    <w:rsid w:val="000D7A1E"/>
    <w:rsid w:val="000D7E78"/>
    <w:rsid w:val="000E3DA1"/>
    <w:rsid w:val="000E5235"/>
    <w:rsid w:val="000E7053"/>
    <w:rsid w:val="000F2C77"/>
    <w:rsid w:val="000F793E"/>
    <w:rsid w:val="00103A12"/>
    <w:rsid w:val="0010685D"/>
    <w:rsid w:val="001076A3"/>
    <w:rsid w:val="00107C46"/>
    <w:rsid w:val="001138BA"/>
    <w:rsid w:val="00115FB9"/>
    <w:rsid w:val="0011669E"/>
    <w:rsid w:val="0011688D"/>
    <w:rsid w:val="001169B3"/>
    <w:rsid w:val="00117A11"/>
    <w:rsid w:val="0013167A"/>
    <w:rsid w:val="00132219"/>
    <w:rsid w:val="001336EA"/>
    <w:rsid w:val="00133C52"/>
    <w:rsid w:val="00133C62"/>
    <w:rsid w:val="00146308"/>
    <w:rsid w:val="0015221D"/>
    <w:rsid w:val="00162481"/>
    <w:rsid w:val="00172690"/>
    <w:rsid w:val="00181DED"/>
    <w:rsid w:val="00184946"/>
    <w:rsid w:val="001877A4"/>
    <w:rsid w:val="00190AB7"/>
    <w:rsid w:val="00191EAC"/>
    <w:rsid w:val="00192AC0"/>
    <w:rsid w:val="00192DE4"/>
    <w:rsid w:val="001B72CF"/>
    <w:rsid w:val="001C0A5C"/>
    <w:rsid w:val="001C55B2"/>
    <w:rsid w:val="001C7B07"/>
    <w:rsid w:val="001D4859"/>
    <w:rsid w:val="001D729C"/>
    <w:rsid w:val="001E32AC"/>
    <w:rsid w:val="001F11B2"/>
    <w:rsid w:val="001F142C"/>
    <w:rsid w:val="001F1DB4"/>
    <w:rsid w:val="001F1E35"/>
    <w:rsid w:val="001F5045"/>
    <w:rsid w:val="001F6AE0"/>
    <w:rsid w:val="001F6F43"/>
    <w:rsid w:val="00202186"/>
    <w:rsid w:val="00211818"/>
    <w:rsid w:val="00217247"/>
    <w:rsid w:val="002228A4"/>
    <w:rsid w:val="00243008"/>
    <w:rsid w:val="002507A9"/>
    <w:rsid w:val="002557D5"/>
    <w:rsid w:val="00264905"/>
    <w:rsid w:val="00264E04"/>
    <w:rsid w:val="00265D64"/>
    <w:rsid w:val="00277C51"/>
    <w:rsid w:val="002862CA"/>
    <w:rsid w:val="00287C6A"/>
    <w:rsid w:val="00294A06"/>
    <w:rsid w:val="00295CC5"/>
    <w:rsid w:val="002A4703"/>
    <w:rsid w:val="002A56C0"/>
    <w:rsid w:val="002B65E1"/>
    <w:rsid w:val="002B759D"/>
    <w:rsid w:val="002C0FF1"/>
    <w:rsid w:val="002C357F"/>
    <w:rsid w:val="002D0000"/>
    <w:rsid w:val="002D0460"/>
    <w:rsid w:val="002D29D2"/>
    <w:rsid w:val="002D367C"/>
    <w:rsid w:val="002D6162"/>
    <w:rsid w:val="002D6202"/>
    <w:rsid w:val="002E3258"/>
    <w:rsid w:val="003010FB"/>
    <w:rsid w:val="003014E8"/>
    <w:rsid w:val="00306682"/>
    <w:rsid w:val="00310574"/>
    <w:rsid w:val="003171DF"/>
    <w:rsid w:val="0031749D"/>
    <w:rsid w:val="00317F32"/>
    <w:rsid w:val="00326433"/>
    <w:rsid w:val="00332547"/>
    <w:rsid w:val="00333E6B"/>
    <w:rsid w:val="00334E28"/>
    <w:rsid w:val="003374F9"/>
    <w:rsid w:val="00342B02"/>
    <w:rsid w:val="003447A6"/>
    <w:rsid w:val="0035463F"/>
    <w:rsid w:val="00361D99"/>
    <w:rsid w:val="00362ED3"/>
    <w:rsid w:val="0036357B"/>
    <w:rsid w:val="00366223"/>
    <w:rsid w:val="00367E84"/>
    <w:rsid w:val="0037152B"/>
    <w:rsid w:val="00374A1C"/>
    <w:rsid w:val="0038565B"/>
    <w:rsid w:val="003869FD"/>
    <w:rsid w:val="00386ED8"/>
    <w:rsid w:val="00390FE3"/>
    <w:rsid w:val="003939F6"/>
    <w:rsid w:val="00393F5F"/>
    <w:rsid w:val="003960FF"/>
    <w:rsid w:val="003A13B3"/>
    <w:rsid w:val="003A4077"/>
    <w:rsid w:val="003A5FB2"/>
    <w:rsid w:val="003B009A"/>
    <w:rsid w:val="003B1AF7"/>
    <w:rsid w:val="003B255B"/>
    <w:rsid w:val="003B267E"/>
    <w:rsid w:val="003B361D"/>
    <w:rsid w:val="003B3D48"/>
    <w:rsid w:val="003B781F"/>
    <w:rsid w:val="003B7FDA"/>
    <w:rsid w:val="003C10E8"/>
    <w:rsid w:val="003C1C56"/>
    <w:rsid w:val="003E65A6"/>
    <w:rsid w:val="003F59CD"/>
    <w:rsid w:val="003F6F73"/>
    <w:rsid w:val="00412281"/>
    <w:rsid w:val="00414E23"/>
    <w:rsid w:val="004173A6"/>
    <w:rsid w:val="004234D5"/>
    <w:rsid w:val="00423A16"/>
    <w:rsid w:val="00423ED8"/>
    <w:rsid w:val="00432A0D"/>
    <w:rsid w:val="00432C3D"/>
    <w:rsid w:val="004342C3"/>
    <w:rsid w:val="00451C9D"/>
    <w:rsid w:val="0045333E"/>
    <w:rsid w:val="00461F65"/>
    <w:rsid w:val="00464AE0"/>
    <w:rsid w:val="0047293D"/>
    <w:rsid w:val="00473348"/>
    <w:rsid w:val="00474688"/>
    <w:rsid w:val="00485FA5"/>
    <w:rsid w:val="00490F5F"/>
    <w:rsid w:val="004912D3"/>
    <w:rsid w:val="00495C1F"/>
    <w:rsid w:val="004A2370"/>
    <w:rsid w:val="004A3012"/>
    <w:rsid w:val="004A69DA"/>
    <w:rsid w:val="004A6FA4"/>
    <w:rsid w:val="004B6639"/>
    <w:rsid w:val="004B7756"/>
    <w:rsid w:val="004C0919"/>
    <w:rsid w:val="004C4B2D"/>
    <w:rsid w:val="004C5779"/>
    <w:rsid w:val="004D374A"/>
    <w:rsid w:val="004E0E7F"/>
    <w:rsid w:val="004E3699"/>
    <w:rsid w:val="004F1BA3"/>
    <w:rsid w:val="004F1F49"/>
    <w:rsid w:val="004F3B07"/>
    <w:rsid w:val="004F6256"/>
    <w:rsid w:val="005016AA"/>
    <w:rsid w:val="0050643B"/>
    <w:rsid w:val="00506B57"/>
    <w:rsid w:val="00510611"/>
    <w:rsid w:val="00513458"/>
    <w:rsid w:val="00513811"/>
    <w:rsid w:val="005143B2"/>
    <w:rsid w:val="00516AD5"/>
    <w:rsid w:val="005207A4"/>
    <w:rsid w:val="005231A0"/>
    <w:rsid w:val="0053366D"/>
    <w:rsid w:val="00536896"/>
    <w:rsid w:val="00540D11"/>
    <w:rsid w:val="0054289F"/>
    <w:rsid w:val="005455F0"/>
    <w:rsid w:val="00545E90"/>
    <w:rsid w:val="00556435"/>
    <w:rsid w:val="00556F34"/>
    <w:rsid w:val="00565907"/>
    <w:rsid w:val="00566271"/>
    <w:rsid w:val="0057091D"/>
    <w:rsid w:val="00583592"/>
    <w:rsid w:val="00590D66"/>
    <w:rsid w:val="00593778"/>
    <w:rsid w:val="00594A0B"/>
    <w:rsid w:val="005A34F3"/>
    <w:rsid w:val="005A60F2"/>
    <w:rsid w:val="005A6691"/>
    <w:rsid w:val="005A75F5"/>
    <w:rsid w:val="005A7763"/>
    <w:rsid w:val="005B4A65"/>
    <w:rsid w:val="005C1E30"/>
    <w:rsid w:val="005D13A4"/>
    <w:rsid w:val="005D3654"/>
    <w:rsid w:val="005D55EC"/>
    <w:rsid w:val="005D7314"/>
    <w:rsid w:val="005E1206"/>
    <w:rsid w:val="005E221D"/>
    <w:rsid w:val="005E4EE6"/>
    <w:rsid w:val="005E5F10"/>
    <w:rsid w:val="005F271C"/>
    <w:rsid w:val="005F3E4A"/>
    <w:rsid w:val="00605771"/>
    <w:rsid w:val="00610172"/>
    <w:rsid w:val="00612BF4"/>
    <w:rsid w:val="00615AEA"/>
    <w:rsid w:val="006200A0"/>
    <w:rsid w:val="00632A93"/>
    <w:rsid w:val="00633B9F"/>
    <w:rsid w:val="00642406"/>
    <w:rsid w:val="0064645C"/>
    <w:rsid w:val="006464FD"/>
    <w:rsid w:val="0065038A"/>
    <w:rsid w:val="006513B8"/>
    <w:rsid w:val="00651CE1"/>
    <w:rsid w:val="0065398F"/>
    <w:rsid w:val="0066071B"/>
    <w:rsid w:val="006654D9"/>
    <w:rsid w:val="006679A8"/>
    <w:rsid w:val="00675A99"/>
    <w:rsid w:val="00680516"/>
    <w:rsid w:val="00680715"/>
    <w:rsid w:val="00680DED"/>
    <w:rsid w:val="0068401B"/>
    <w:rsid w:val="00684BBB"/>
    <w:rsid w:val="0068587D"/>
    <w:rsid w:val="00685BDE"/>
    <w:rsid w:val="00687C3F"/>
    <w:rsid w:val="00692427"/>
    <w:rsid w:val="006A14B0"/>
    <w:rsid w:val="006A3947"/>
    <w:rsid w:val="006A3B50"/>
    <w:rsid w:val="006A7F86"/>
    <w:rsid w:val="006B021B"/>
    <w:rsid w:val="006B1083"/>
    <w:rsid w:val="006B22FE"/>
    <w:rsid w:val="006B3223"/>
    <w:rsid w:val="006B4403"/>
    <w:rsid w:val="006B6390"/>
    <w:rsid w:val="006C064E"/>
    <w:rsid w:val="006C0937"/>
    <w:rsid w:val="006C2702"/>
    <w:rsid w:val="006C58AD"/>
    <w:rsid w:val="006C701B"/>
    <w:rsid w:val="006C7BDE"/>
    <w:rsid w:val="006D0A1F"/>
    <w:rsid w:val="006D1086"/>
    <w:rsid w:val="006D3C21"/>
    <w:rsid w:val="006D7317"/>
    <w:rsid w:val="006E050E"/>
    <w:rsid w:val="006E0A36"/>
    <w:rsid w:val="006E0DF7"/>
    <w:rsid w:val="006E1279"/>
    <w:rsid w:val="006E3262"/>
    <w:rsid w:val="006F4214"/>
    <w:rsid w:val="006F6690"/>
    <w:rsid w:val="00701649"/>
    <w:rsid w:val="00704528"/>
    <w:rsid w:val="00707314"/>
    <w:rsid w:val="00707714"/>
    <w:rsid w:val="0070790E"/>
    <w:rsid w:val="0072108D"/>
    <w:rsid w:val="00721614"/>
    <w:rsid w:val="007279D2"/>
    <w:rsid w:val="007346DB"/>
    <w:rsid w:val="007360C9"/>
    <w:rsid w:val="0074281F"/>
    <w:rsid w:val="007501C1"/>
    <w:rsid w:val="00750248"/>
    <w:rsid w:val="007559B2"/>
    <w:rsid w:val="00757F67"/>
    <w:rsid w:val="00760426"/>
    <w:rsid w:val="00760FBB"/>
    <w:rsid w:val="007624C0"/>
    <w:rsid w:val="0076464C"/>
    <w:rsid w:val="0076631D"/>
    <w:rsid w:val="00774495"/>
    <w:rsid w:val="00774FA8"/>
    <w:rsid w:val="007768C4"/>
    <w:rsid w:val="00781A85"/>
    <w:rsid w:val="00787F61"/>
    <w:rsid w:val="0079386F"/>
    <w:rsid w:val="00795628"/>
    <w:rsid w:val="00795E34"/>
    <w:rsid w:val="00795EFF"/>
    <w:rsid w:val="007A3152"/>
    <w:rsid w:val="007A3B8E"/>
    <w:rsid w:val="007B7A57"/>
    <w:rsid w:val="007C0977"/>
    <w:rsid w:val="007C3BEA"/>
    <w:rsid w:val="007C7299"/>
    <w:rsid w:val="007D297B"/>
    <w:rsid w:val="007D44B2"/>
    <w:rsid w:val="007D4D95"/>
    <w:rsid w:val="007D5357"/>
    <w:rsid w:val="007E13CA"/>
    <w:rsid w:val="007E17B6"/>
    <w:rsid w:val="007E2CA8"/>
    <w:rsid w:val="007F2B13"/>
    <w:rsid w:val="00801B39"/>
    <w:rsid w:val="00804289"/>
    <w:rsid w:val="00805047"/>
    <w:rsid w:val="00813C59"/>
    <w:rsid w:val="00814E0F"/>
    <w:rsid w:val="0081680A"/>
    <w:rsid w:val="00822A11"/>
    <w:rsid w:val="008257AA"/>
    <w:rsid w:val="0082607F"/>
    <w:rsid w:val="00826D66"/>
    <w:rsid w:val="00834A67"/>
    <w:rsid w:val="00835FD5"/>
    <w:rsid w:val="00836784"/>
    <w:rsid w:val="008473B1"/>
    <w:rsid w:val="00854A16"/>
    <w:rsid w:val="00860000"/>
    <w:rsid w:val="0087230C"/>
    <w:rsid w:val="00875A84"/>
    <w:rsid w:val="00875E11"/>
    <w:rsid w:val="00877901"/>
    <w:rsid w:val="00881945"/>
    <w:rsid w:val="00881EA7"/>
    <w:rsid w:val="00882C28"/>
    <w:rsid w:val="00891A53"/>
    <w:rsid w:val="008946FF"/>
    <w:rsid w:val="008958C0"/>
    <w:rsid w:val="00895C9D"/>
    <w:rsid w:val="008A21DA"/>
    <w:rsid w:val="008B0ABB"/>
    <w:rsid w:val="008B1005"/>
    <w:rsid w:val="008C38F2"/>
    <w:rsid w:val="008C4786"/>
    <w:rsid w:val="008C7512"/>
    <w:rsid w:val="008D3168"/>
    <w:rsid w:val="008E26CC"/>
    <w:rsid w:val="008F34A7"/>
    <w:rsid w:val="008F62B3"/>
    <w:rsid w:val="008F7B35"/>
    <w:rsid w:val="0090287F"/>
    <w:rsid w:val="0090780C"/>
    <w:rsid w:val="00907F87"/>
    <w:rsid w:val="00920581"/>
    <w:rsid w:val="00936FE9"/>
    <w:rsid w:val="00937CF3"/>
    <w:rsid w:val="00942B6D"/>
    <w:rsid w:val="00945A5C"/>
    <w:rsid w:val="00947545"/>
    <w:rsid w:val="0094771C"/>
    <w:rsid w:val="00947FF6"/>
    <w:rsid w:val="00950657"/>
    <w:rsid w:val="00951A3E"/>
    <w:rsid w:val="00960BF1"/>
    <w:rsid w:val="0097040A"/>
    <w:rsid w:val="00971424"/>
    <w:rsid w:val="00977BDF"/>
    <w:rsid w:val="00981C1F"/>
    <w:rsid w:val="00982A1C"/>
    <w:rsid w:val="00982ABD"/>
    <w:rsid w:val="00985249"/>
    <w:rsid w:val="00985BDA"/>
    <w:rsid w:val="00985FBC"/>
    <w:rsid w:val="00987ED2"/>
    <w:rsid w:val="009918E7"/>
    <w:rsid w:val="00993025"/>
    <w:rsid w:val="00993B13"/>
    <w:rsid w:val="0099467F"/>
    <w:rsid w:val="009A4841"/>
    <w:rsid w:val="009A70D7"/>
    <w:rsid w:val="009B0C03"/>
    <w:rsid w:val="009B174A"/>
    <w:rsid w:val="009B253F"/>
    <w:rsid w:val="009B475E"/>
    <w:rsid w:val="009C0D37"/>
    <w:rsid w:val="009C0DE1"/>
    <w:rsid w:val="009C33D9"/>
    <w:rsid w:val="009C3A13"/>
    <w:rsid w:val="009C60EA"/>
    <w:rsid w:val="009C7C38"/>
    <w:rsid w:val="009D6E1B"/>
    <w:rsid w:val="009E4D08"/>
    <w:rsid w:val="009E4DF0"/>
    <w:rsid w:val="009F0D6A"/>
    <w:rsid w:val="009F4F98"/>
    <w:rsid w:val="009F5839"/>
    <w:rsid w:val="009F70B1"/>
    <w:rsid w:val="00A00A47"/>
    <w:rsid w:val="00A0262F"/>
    <w:rsid w:val="00A14376"/>
    <w:rsid w:val="00A164DC"/>
    <w:rsid w:val="00A2231A"/>
    <w:rsid w:val="00A22CE8"/>
    <w:rsid w:val="00A2647F"/>
    <w:rsid w:val="00A27EAA"/>
    <w:rsid w:val="00A3033C"/>
    <w:rsid w:val="00A319AD"/>
    <w:rsid w:val="00A367F2"/>
    <w:rsid w:val="00A61E10"/>
    <w:rsid w:val="00A6234C"/>
    <w:rsid w:val="00A704C6"/>
    <w:rsid w:val="00A77B03"/>
    <w:rsid w:val="00A77D3E"/>
    <w:rsid w:val="00A81FF1"/>
    <w:rsid w:val="00A831FD"/>
    <w:rsid w:val="00A83939"/>
    <w:rsid w:val="00A84270"/>
    <w:rsid w:val="00A84A3F"/>
    <w:rsid w:val="00A906D3"/>
    <w:rsid w:val="00A967E3"/>
    <w:rsid w:val="00AA0F5F"/>
    <w:rsid w:val="00AA2230"/>
    <w:rsid w:val="00AA3DB8"/>
    <w:rsid w:val="00AA4613"/>
    <w:rsid w:val="00AB1355"/>
    <w:rsid w:val="00AB749A"/>
    <w:rsid w:val="00AC03F8"/>
    <w:rsid w:val="00AC4AF6"/>
    <w:rsid w:val="00AC670E"/>
    <w:rsid w:val="00AC7102"/>
    <w:rsid w:val="00AD66DC"/>
    <w:rsid w:val="00AE0D34"/>
    <w:rsid w:val="00AE22E4"/>
    <w:rsid w:val="00AE23BB"/>
    <w:rsid w:val="00AE4C63"/>
    <w:rsid w:val="00AE7899"/>
    <w:rsid w:val="00AF141B"/>
    <w:rsid w:val="00AF5885"/>
    <w:rsid w:val="00AF6A45"/>
    <w:rsid w:val="00B06AD6"/>
    <w:rsid w:val="00B13CD4"/>
    <w:rsid w:val="00B20B2A"/>
    <w:rsid w:val="00B24042"/>
    <w:rsid w:val="00B257D9"/>
    <w:rsid w:val="00B31DB0"/>
    <w:rsid w:val="00B33475"/>
    <w:rsid w:val="00B34536"/>
    <w:rsid w:val="00B3494F"/>
    <w:rsid w:val="00B41680"/>
    <w:rsid w:val="00B45CF5"/>
    <w:rsid w:val="00B50A55"/>
    <w:rsid w:val="00B52CB2"/>
    <w:rsid w:val="00B5587E"/>
    <w:rsid w:val="00B5742C"/>
    <w:rsid w:val="00B635A7"/>
    <w:rsid w:val="00B63733"/>
    <w:rsid w:val="00B67A27"/>
    <w:rsid w:val="00B67BBF"/>
    <w:rsid w:val="00B71276"/>
    <w:rsid w:val="00B749A4"/>
    <w:rsid w:val="00B7599F"/>
    <w:rsid w:val="00B816EC"/>
    <w:rsid w:val="00B836E1"/>
    <w:rsid w:val="00B95DE2"/>
    <w:rsid w:val="00B962A2"/>
    <w:rsid w:val="00BA2B5D"/>
    <w:rsid w:val="00BB130C"/>
    <w:rsid w:val="00BB1B5E"/>
    <w:rsid w:val="00BB34FC"/>
    <w:rsid w:val="00BB3AF0"/>
    <w:rsid w:val="00BC11E9"/>
    <w:rsid w:val="00BC14CE"/>
    <w:rsid w:val="00BC4D5A"/>
    <w:rsid w:val="00BC73AD"/>
    <w:rsid w:val="00BD7368"/>
    <w:rsid w:val="00BE2F2A"/>
    <w:rsid w:val="00BE57BA"/>
    <w:rsid w:val="00C07539"/>
    <w:rsid w:val="00C254C3"/>
    <w:rsid w:val="00C307DD"/>
    <w:rsid w:val="00C4405E"/>
    <w:rsid w:val="00C44130"/>
    <w:rsid w:val="00C45DF1"/>
    <w:rsid w:val="00C52ACF"/>
    <w:rsid w:val="00C52EE1"/>
    <w:rsid w:val="00C5636B"/>
    <w:rsid w:val="00C56CE3"/>
    <w:rsid w:val="00C60886"/>
    <w:rsid w:val="00C6155F"/>
    <w:rsid w:val="00C6262D"/>
    <w:rsid w:val="00C63FC4"/>
    <w:rsid w:val="00C665B5"/>
    <w:rsid w:val="00C707E2"/>
    <w:rsid w:val="00C736F2"/>
    <w:rsid w:val="00C73D1D"/>
    <w:rsid w:val="00C76CEB"/>
    <w:rsid w:val="00C81930"/>
    <w:rsid w:val="00C82337"/>
    <w:rsid w:val="00C85F73"/>
    <w:rsid w:val="00C86600"/>
    <w:rsid w:val="00C878F2"/>
    <w:rsid w:val="00CA2CC0"/>
    <w:rsid w:val="00CB1777"/>
    <w:rsid w:val="00CB7D81"/>
    <w:rsid w:val="00CB7FC9"/>
    <w:rsid w:val="00CC1896"/>
    <w:rsid w:val="00CC1C28"/>
    <w:rsid w:val="00CC2CD7"/>
    <w:rsid w:val="00CC5616"/>
    <w:rsid w:val="00CD08C9"/>
    <w:rsid w:val="00CD3AE0"/>
    <w:rsid w:val="00CD407C"/>
    <w:rsid w:val="00CE0F65"/>
    <w:rsid w:val="00CE5B74"/>
    <w:rsid w:val="00CE61D2"/>
    <w:rsid w:val="00CF05F7"/>
    <w:rsid w:val="00CF2644"/>
    <w:rsid w:val="00CF2A4B"/>
    <w:rsid w:val="00CF5B7E"/>
    <w:rsid w:val="00CF6B2F"/>
    <w:rsid w:val="00CF71B2"/>
    <w:rsid w:val="00D01E14"/>
    <w:rsid w:val="00D12982"/>
    <w:rsid w:val="00D2014D"/>
    <w:rsid w:val="00D20EFC"/>
    <w:rsid w:val="00D232C5"/>
    <w:rsid w:val="00D32D04"/>
    <w:rsid w:val="00D35E48"/>
    <w:rsid w:val="00D42DF5"/>
    <w:rsid w:val="00D46027"/>
    <w:rsid w:val="00D462AA"/>
    <w:rsid w:val="00D47D28"/>
    <w:rsid w:val="00D50524"/>
    <w:rsid w:val="00D50C4A"/>
    <w:rsid w:val="00D52CD3"/>
    <w:rsid w:val="00D54308"/>
    <w:rsid w:val="00D5487D"/>
    <w:rsid w:val="00D762C6"/>
    <w:rsid w:val="00D845E6"/>
    <w:rsid w:val="00D865F2"/>
    <w:rsid w:val="00D9048D"/>
    <w:rsid w:val="00D937D9"/>
    <w:rsid w:val="00D971A8"/>
    <w:rsid w:val="00DA042C"/>
    <w:rsid w:val="00DA3BE3"/>
    <w:rsid w:val="00DA76C4"/>
    <w:rsid w:val="00DB2125"/>
    <w:rsid w:val="00DB421E"/>
    <w:rsid w:val="00DC00D2"/>
    <w:rsid w:val="00DC7024"/>
    <w:rsid w:val="00DD135F"/>
    <w:rsid w:val="00DD2CCE"/>
    <w:rsid w:val="00DD410C"/>
    <w:rsid w:val="00DE29DA"/>
    <w:rsid w:val="00DE7991"/>
    <w:rsid w:val="00DF02E8"/>
    <w:rsid w:val="00DF4F50"/>
    <w:rsid w:val="00E01468"/>
    <w:rsid w:val="00E03491"/>
    <w:rsid w:val="00E03804"/>
    <w:rsid w:val="00E03A00"/>
    <w:rsid w:val="00E07141"/>
    <w:rsid w:val="00E07FF9"/>
    <w:rsid w:val="00E134F4"/>
    <w:rsid w:val="00E16FD4"/>
    <w:rsid w:val="00E17480"/>
    <w:rsid w:val="00E22A56"/>
    <w:rsid w:val="00E2424A"/>
    <w:rsid w:val="00E33DA7"/>
    <w:rsid w:val="00E40BBE"/>
    <w:rsid w:val="00E417EF"/>
    <w:rsid w:val="00E51F76"/>
    <w:rsid w:val="00E56950"/>
    <w:rsid w:val="00E60D5C"/>
    <w:rsid w:val="00E7594B"/>
    <w:rsid w:val="00E77B36"/>
    <w:rsid w:val="00E9575C"/>
    <w:rsid w:val="00EA452D"/>
    <w:rsid w:val="00EB51B2"/>
    <w:rsid w:val="00EB7DDC"/>
    <w:rsid w:val="00EC575D"/>
    <w:rsid w:val="00EC5E9A"/>
    <w:rsid w:val="00EC7719"/>
    <w:rsid w:val="00ED5D9F"/>
    <w:rsid w:val="00ED6989"/>
    <w:rsid w:val="00ED7ED0"/>
    <w:rsid w:val="00EE4242"/>
    <w:rsid w:val="00EE570A"/>
    <w:rsid w:val="00EF281B"/>
    <w:rsid w:val="00EF488E"/>
    <w:rsid w:val="00F12107"/>
    <w:rsid w:val="00F1262E"/>
    <w:rsid w:val="00F13D7B"/>
    <w:rsid w:val="00F14EC1"/>
    <w:rsid w:val="00F15254"/>
    <w:rsid w:val="00F156EF"/>
    <w:rsid w:val="00F16A95"/>
    <w:rsid w:val="00F266D7"/>
    <w:rsid w:val="00F31ABE"/>
    <w:rsid w:val="00F32BAE"/>
    <w:rsid w:val="00F33074"/>
    <w:rsid w:val="00F36A96"/>
    <w:rsid w:val="00F418C4"/>
    <w:rsid w:val="00F42307"/>
    <w:rsid w:val="00F45B64"/>
    <w:rsid w:val="00F46511"/>
    <w:rsid w:val="00F50DF3"/>
    <w:rsid w:val="00F51637"/>
    <w:rsid w:val="00F53083"/>
    <w:rsid w:val="00F605EF"/>
    <w:rsid w:val="00F63EAD"/>
    <w:rsid w:val="00F65051"/>
    <w:rsid w:val="00F678DB"/>
    <w:rsid w:val="00F70DA4"/>
    <w:rsid w:val="00F73523"/>
    <w:rsid w:val="00F759FA"/>
    <w:rsid w:val="00F81946"/>
    <w:rsid w:val="00F85B02"/>
    <w:rsid w:val="00F869B3"/>
    <w:rsid w:val="00F9197D"/>
    <w:rsid w:val="00F9368C"/>
    <w:rsid w:val="00F94C97"/>
    <w:rsid w:val="00F95E26"/>
    <w:rsid w:val="00FA55B6"/>
    <w:rsid w:val="00FA7CF5"/>
    <w:rsid w:val="00FB0505"/>
    <w:rsid w:val="00FB112D"/>
    <w:rsid w:val="00FC24D4"/>
    <w:rsid w:val="00FC3405"/>
    <w:rsid w:val="00FC7E4A"/>
    <w:rsid w:val="00FD10D9"/>
    <w:rsid w:val="00FD2EA9"/>
    <w:rsid w:val="00FD399C"/>
    <w:rsid w:val="00FF43F0"/>
    <w:rsid w:val="07F318E0"/>
    <w:rsid w:val="1D337ADB"/>
    <w:rsid w:val="26BA1D78"/>
    <w:rsid w:val="2F0231D7"/>
    <w:rsid w:val="32857E76"/>
    <w:rsid w:val="33120D2C"/>
    <w:rsid w:val="37150A09"/>
    <w:rsid w:val="3B202265"/>
    <w:rsid w:val="3CB35FCF"/>
    <w:rsid w:val="3FB72C55"/>
    <w:rsid w:val="43D425D4"/>
    <w:rsid w:val="48DD50B4"/>
    <w:rsid w:val="50202E07"/>
    <w:rsid w:val="60131EE6"/>
    <w:rsid w:val="60D139A7"/>
    <w:rsid w:val="6A6D206C"/>
    <w:rsid w:val="70D358B0"/>
    <w:rsid w:val="78357DC4"/>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nhideWhenUsed="0" w:uiPriority="99" w:semiHidden="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qFormat="1" w:uiPriority="99" w:semiHidden="0" w:name="annotation text"/>
    <w:lsdException w:qFormat="1" w:unhideWhenUsed="0" w:uiPriority="99" w:semiHidden="0" w:name="header"/>
    <w:lsdException w:qFormat="1" w:unhideWhenUsed="0" w:uiPriority="99"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iPriority="99" w:semiHidden="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uiPriority="1"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iPriority="0" w:semiHidden="0" w:name="Hyperlink"/>
    <w:lsdException w:uiPriority="0" w:name="FollowedHyperlink"/>
    <w:lsdException w:qFormat="1" w:unhideWhenUsed="0" w:uiPriority="0" w:semiHidden="0" w:name="Strong"/>
    <w:lsdException w:qFormat="1" w:unhideWhenUsed="0" w:uiPriority="20" w:semiHidden="0" w:name="Emphasis"/>
    <w:lsdException w:uiPriority="0" w:name="Document Map"/>
    <w:lsdException w:qFormat="1" w:unhideWhenUsed="0" w:uiPriority="0" w:semiHidden="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qFormat="1" w:uiPriority="99"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99" w:semiHidden="0" w:name="Balloon Text"/>
    <w:lsdException w:qFormat="1" w:unhideWhenUsed="0" w:uiPriority="0" w:semiHidden="0" w:name="Table Grid"/>
    <w:lsdException w:uiPriority="0" w:name="Table Theme"/>
    <w:lsdException w:qFormat="1" w:unhideWhenUsed="0" w:uiPriority="99" w:name="Placeholder Text"/>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0"/>
    <w:pPr>
      <w:spacing w:beforeAutospacing="1" w:afterAutospacing="1"/>
      <w:jc w:val="left"/>
      <w:outlineLvl w:val="0"/>
    </w:pPr>
    <w:rPr>
      <w:rFonts w:hint="eastAsia" w:ascii="宋体" w:hAnsi="宋体"/>
      <w:b/>
      <w:bCs/>
      <w:kern w:val="44"/>
      <w:sz w:val="48"/>
      <w:szCs w:val="48"/>
    </w:rPr>
  </w:style>
  <w:style w:type="paragraph" w:styleId="3">
    <w:name w:val="heading 7"/>
    <w:basedOn w:val="1"/>
    <w:next w:val="1"/>
    <w:qFormat/>
    <w:uiPriority w:val="99"/>
    <w:pPr>
      <w:keepNext/>
      <w:keepLines/>
      <w:spacing w:before="240" w:after="64" w:line="320" w:lineRule="auto"/>
      <w:outlineLvl w:val="6"/>
    </w:pPr>
    <w:rPr>
      <w:b/>
      <w:bCs/>
      <w:sz w:val="24"/>
    </w:rPr>
  </w:style>
  <w:style w:type="character" w:default="1" w:styleId="12">
    <w:name w:val="Default Paragraph Font"/>
    <w:semiHidden/>
    <w:unhideWhenUsed/>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4">
    <w:name w:val="annotation text"/>
    <w:basedOn w:val="1"/>
    <w:link w:val="31"/>
    <w:unhideWhenUsed/>
    <w:qFormat/>
    <w:uiPriority w:val="99"/>
    <w:pPr>
      <w:jc w:val="left"/>
    </w:pPr>
    <w:rPr>
      <w:rFonts w:ascii="Calibri" w:hAnsi="Calibri"/>
      <w:szCs w:val="22"/>
    </w:rPr>
  </w:style>
  <w:style w:type="paragraph" w:styleId="5">
    <w:name w:val="Plain Text"/>
    <w:basedOn w:val="1"/>
    <w:link w:val="28"/>
    <w:qFormat/>
    <w:uiPriority w:val="0"/>
    <w:rPr>
      <w:rFonts w:ascii="宋体" w:hAnsi="Courier New"/>
      <w:szCs w:val="21"/>
      <w:lang w:val="zh-CN"/>
    </w:rPr>
  </w:style>
  <w:style w:type="paragraph" w:styleId="6">
    <w:name w:val="Balloon Text"/>
    <w:basedOn w:val="1"/>
    <w:link w:val="30"/>
    <w:qFormat/>
    <w:uiPriority w:val="99"/>
    <w:rPr>
      <w:rFonts w:ascii="宋体"/>
      <w:sz w:val="18"/>
      <w:szCs w:val="18"/>
    </w:rPr>
  </w:style>
  <w:style w:type="paragraph" w:styleId="7">
    <w:name w:val="footer"/>
    <w:basedOn w:val="1"/>
    <w:link w:val="19"/>
    <w:qFormat/>
    <w:uiPriority w:val="99"/>
    <w:pPr>
      <w:tabs>
        <w:tab w:val="center" w:pos="4153"/>
        <w:tab w:val="right" w:pos="8306"/>
      </w:tabs>
      <w:snapToGrid w:val="0"/>
      <w:jc w:val="left"/>
    </w:pPr>
    <w:rPr>
      <w:sz w:val="18"/>
      <w:szCs w:val="18"/>
      <w:lang w:val="zh-CN"/>
    </w:rPr>
  </w:style>
  <w:style w:type="paragraph" w:styleId="8">
    <w:name w:val="header"/>
    <w:basedOn w:val="1"/>
    <w:link w:val="18"/>
    <w:qFormat/>
    <w:uiPriority w:val="99"/>
    <w:pPr>
      <w:pBdr>
        <w:bottom w:val="single" w:color="auto" w:sz="6" w:space="1"/>
      </w:pBdr>
      <w:tabs>
        <w:tab w:val="center" w:pos="4153"/>
        <w:tab w:val="right" w:pos="8306"/>
      </w:tabs>
      <w:snapToGrid w:val="0"/>
      <w:jc w:val="center"/>
    </w:pPr>
    <w:rPr>
      <w:sz w:val="18"/>
      <w:szCs w:val="18"/>
      <w:lang w:val="zh-CN"/>
    </w:rPr>
  </w:style>
  <w:style w:type="paragraph" w:styleId="9">
    <w:name w:val="annotation subject"/>
    <w:basedOn w:val="4"/>
    <w:next w:val="4"/>
    <w:link w:val="35"/>
    <w:semiHidden/>
    <w:unhideWhenUsed/>
    <w:qFormat/>
    <w:uiPriority w:val="99"/>
    <w:rPr>
      <w:b/>
      <w:bCs/>
      <w:kern w:val="0"/>
      <w:sz w:val="20"/>
      <w:szCs w:val="20"/>
      <w:lang w:val="zh-CN"/>
    </w:rPr>
  </w:style>
  <w:style w:type="table" w:styleId="11">
    <w:name w:val="Table Grid"/>
    <w:basedOn w:val="10"/>
    <w:qFormat/>
    <w:uiPriority w:val="0"/>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3">
    <w:name w:val="Emphasis"/>
    <w:basedOn w:val="12"/>
    <w:qFormat/>
    <w:uiPriority w:val="20"/>
    <w:rPr>
      <w:i/>
      <w:iCs/>
    </w:rPr>
  </w:style>
  <w:style w:type="character" w:styleId="14">
    <w:name w:val="Hyperlink"/>
    <w:basedOn w:val="12"/>
    <w:unhideWhenUsed/>
    <w:qFormat/>
    <w:uiPriority w:val="0"/>
    <w:rPr>
      <w:color w:val="0000FF" w:themeColor="hyperlink"/>
      <w:u w:val="single"/>
    </w:rPr>
  </w:style>
  <w:style w:type="character" w:styleId="15">
    <w:name w:val="annotation reference"/>
    <w:unhideWhenUsed/>
    <w:qFormat/>
    <w:uiPriority w:val="99"/>
    <w:rPr>
      <w:sz w:val="21"/>
      <w:szCs w:val="21"/>
    </w:rPr>
  </w:style>
  <w:style w:type="paragraph" w:customStyle="1" w:styleId="16">
    <w:name w:val="段"/>
    <w:link w:val="27"/>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paragraph" w:customStyle="1" w:styleId="17">
    <w:name w:val="Char"/>
    <w:basedOn w:val="1"/>
    <w:qFormat/>
    <w:uiPriority w:val="0"/>
    <w:pPr>
      <w:widowControl/>
      <w:spacing w:after="160" w:line="240" w:lineRule="exact"/>
      <w:jc w:val="left"/>
    </w:pPr>
    <w:rPr>
      <w:rFonts w:ascii="Verdana" w:hAnsi="Verdana" w:eastAsia="仿宋_GB2312"/>
      <w:kern w:val="0"/>
      <w:sz w:val="24"/>
      <w:szCs w:val="20"/>
      <w:lang w:eastAsia="en-US"/>
    </w:rPr>
  </w:style>
  <w:style w:type="character" w:customStyle="1" w:styleId="18">
    <w:name w:val="页眉 Char"/>
    <w:link w:val="8"/>
    <w:qFormat/>
    <w:uiPriority w:val="99"/>
    <w:rPr>
      <w:kern w:val="2"/>
      <w:sz w:val="18"/>
      <w:szCs w:val="18"/>
    </w:rPr>
  </w:style>
  <w:style w:type="character" w:customStyle="1" w:styleId="19">
    <w:name w:val="页脚 Char"/>
    <w:link w:val="7"/>
    <w:qFormat/>
    <w:uiPriority w:val="99"/>
    <w:rPr>
      <w:kern w:val="2"/>
      <w:sz w:val="18"/>
      <w:szCs w:val="18"/>
    </w:rPr>
  </w:style>
  <w:style w:type="paragraph" w:customStyle="1" w:styleId="20">
    <w:name w:val="前言、引言标题"/>
    <w:next w:val="1"/>
    <w:qFormat/>
    <w:uiPriority w:val="0"/>
    <w:pPr>
      <w:numPr>
        <w:ilvl w:val="0"/>
        <w:numId w:val="1"/>
      </w:numPr>
      <w:shd w:val="clear" w:color="FFFFFF" w:fill="FFFFFF"/>
      <w:spacing w:before="640" w:after="560"/>
      <w:jc w:val="center"/>
      <w:outlineLvl w:val="0"/>
    </w:pPr>
    <w:rPr>
      <w:rFonts w:ascii="黑体" w:hAnsi="Times New Roman" w:eastAsia="黑体" w:cs="Times New Roman"/>
      <w:sz w:val="32"/>
      <w:lang w:val="en-US" w:eastAsia="zh-CN" w:bidi="ar-SA"/>
    </w:rPr>
  </w:style>
  <w:style w:type="paragraph" w:customStyle="1" w:styleId="21">
    <w:name w:val="章标题"/>
    <w:next w:val="16"/>
    <w:qFormat/>
    <w:uiPriority w:val="0"/>
    <w:pPr>
      <w:numPr>
        <w:ilvl w:val="1"/>
        <w:numId w:val="1"/>
      </w:numPr>
      <w:spacing w:beforeLines="50" w:afterLines="50"/>
      <w:jc w:val="both"/>
      <w:outlineLvl w:val="1"/>
    </w:pPr>
    <w:rPr>
      <w:rFonts w:ascii="黑体" w:hAnsi="Times New Roman" w:eastAsia="黑体" w:cs="Times New Roman"/>
      <w:sz w:val="21"/>
      <w:lang w:val="en-US" w:eastAsia="zh-CN" w:bidi="ar-SA"/>
    </w:rPr>
  </w:style>
  <w:style w:type="paragraph" w:customStyle="1" w:styleId="22">
    <w:name w:val="一级条标题"/>
    <w:basedOn w:val="21"/>
    <w:next w:val="16"/>
    <w:qFormat/>
    <w:uiPriority w:val="0"/>
    <w:pPr>
      <w:numPr>
        <w:ilvl w:val="2"/>
      </w:numPr>
      <w:spacing w:beforeLines="0" w:afterLines="0"/>
      <w:outlineLvl w:val="2"/>
    </w:pPr>
  </w:style>
  <w:style w:type="paragraph" w:customStyle="1" w:styleId="23">
    <w:name w:val="二级条标题"/>
    <w:basedOn w:val="22"/>
    <w:next w:val="16"/>
    <w:qFormat/>
    <w:uiPriority w:val="0"/>
    <w:pPr>
      <w:numPr>
        <w:ilvl w:val="3"/>
      </w:numPr>
      <w:outlineLvl w:val="3"/>
    </w:pPr>
  </w:style>
  <w:style w:type="paragraph" w:customStyle="1" w:styleId="24">
    <w:name w:val="三级条标题"/>
    <w:basedOn w:val="23"/>
    <w:next w:val="16"/>
    <w:qFormat/>
    <w:uiPriority w:val="0"/>
    <w:pPr>
      <w:numPr>
        <w:ilvl w:val="4"/>
      </w:numPr>
      <w:outlineLvl w:val="4"/>
    </w:pPr>
  </w:style>
  <w:style w:type="paragraph" w:customStyle="1" w:styleId="25">
    <w:name w:val="四级条标题"/>
    <w:basedOn w:val="24"/>
    <w:next w:val="16"/>
    <w:qFormat/>
    <w:uiPriority w:val="0"/>
    <w:pPr>
      <w:numPr>
        <w:ilvl w:val="5"/>
      </w:numPr>
      <w:outlineLvl w:val="5"/>
    </w:pPr>
  </w:style>
  <w:style w:type="paragraph" w:customStyle="1" w:styleId="26">
    <w:name w:val="五级条标题"/>
    <w:basedOn w:val="25"/>
    <w:next w:val="16"/>
    <w:qFormat/>
    <w:uiPriority w:val="0"/>
    <w:pPr>
      <w:numPr>
        <w:ilvl w:val="6"/>
      </w:numPr>
      <w:outlineLvl w:val="6"/>
    </w:pPr>
  </w:style>
  <w:style w:type="character" w:customStyle="1" w:styleId="27">
    <w:name w:val="段 Char"/>
    <w:link w:val="16"/>
    <w:qFormat/>
    <w:locked/>
    <w:uiPriority w:val="0"/>
    <w:rPr>
      <w:rFonts w:ascii="宋体"/>
      <w:sz w:val="21"/>
      <w:lang w:bidi="ar-SA"/>
    </w:rPr>
  </w:style>
  <w:style w:type="character" w:customStyle="1" w:styleId="28">
    <w:name w:val="纯文本 Char"/>
    <w:link w:val="5"/>
    <w:qFormat/>
    <w:uiPriority w:val="0"/>
    <w:rPr>
      <w:rFonts w:ascii="宋体" w:hAnsi="Courier New" w:cs="Courier New"/>
      <w:kern w:val="2"/>
      <w:sz w:val="21"/>
      <w:szCs w:val="21"/>
    </w:rPr>
  </w:style>
  <w:style w:type="paragraph" w:customStyle="1" w:styleId="29">
    <w:name w:val="正文表标题"/>
    <w:next w:val="16"/>
    <w:qFormat/>
    <w:uiPriority w:val="0"/>
    <w:pPr>
      <w:tabs>
        <w:tab w:val="left" w:pos="360"/>
      </w:tabs>
      <w:spacing w:beforeLines="50" w:afterLines="50"/>
      <w:jc w:val="center"/>
    </w:pPr>
    <w:rPr>
      <w:rFonts w:ascii="黑体" w:hAnsi="Times New Roman" w:eastAsia="黑体" w:cs="Times New Roman"/>
      <w:sz w:val="21"/>
      <w:lang w:val="en-US" w:eastAsia="zh-CN" w:bidi="ar-SA"/>
    </w:rPr>
  </w:style>
  <w:style w:type="character" w:customStyle="1" w:styleId="30">
    <w:name w:val="批注框文本 Char"/>
    <w:link w:val="6"/>
    <w:qFormat/>
    <w:uiPriority w:val="99"/>
    <w:rPr>
      <w:rFonts w:ascii="宋体"/>
      <w:kern w:val="2"/>
      <w:sz w:val="18"/>
      <w:szCs w:val="18"/>
      <w:lang w:val="en-US"/>
    </w:rPr>
  </w:style>
  <w:style w:type="character" w:customStyle="1" w:styleId="31">
    <w:name w:val="批注文字 Char"/>
    <w:link w:val="4"/>
    <w:qFormat/>
    <w:uiPriority w:val="99"/>
    <w:rPr>
      <w:rFonts w:ascii="Calibri" w:hAnsi="Calibri"/>
      <w:kern w:val="2"/>
      <w:sz w:val="21"/>
      <w:szCs w:val="22"/>
    </w:rPr>
  </w:style>
  <w:style w:type="character" w:customStyle="1" w:styleId="32">
    <w:name w:val="明显强调1"/>
    <w:qFormat/>
    <w:uiPriority w:val="21"/>
    <w:rPr>
      <w:b/>
      <w:bCs/>
      <w:i/>
      <w:iCs/>
      <w:color w:val="4F81BD"/>
    </w:rPr>
  </w:style>
  <w:style w:type="character" w:styleId="33">
    <w:name w:val="Placeholder Text"/>
    <w:basedOn w:val="12"/>
    <w:semiHidden/>
    <w:qFormat/>
    <w:uiPriority w:val="99"/>
    <w:rPr>
      <w:color w:val="808080"/>
    </w:rPr>
  </w:style>
  <w:style w:type="paragraph" w:styleId="34">
    <w:name w:val="List Paragraph"/>
    <w:basedOn w:val="1"/>
    <w:qFormat/>
    <w:uiPriority w:val="34"/>
    <w:pPr>
      <w:ind w:firstLine="420" w:firstLineChars="200"/>
    </w:pPr>
  </w:style>
  <w:style w:type="character" w:customStyle="1" w:styleId="35">
    <w:name w:val="批注主题 Char"/>
    <w:basedOn w:val="31"/>
    <w:link w:val="9"/>
    <w:semiHidden/>
    <w:qFormat/>
    <w:uiPriority w:val="99"/>
    <w:rPr>
      <w:rFonts w:ascii="Calibri" w:hAnsi="Calibri"/>
      <w:b/>
      <w:bCs/>
      <w:kern w:val="2"/>
      <w:sz w:val="21"/>
      <w:szCs w:val="22"/>
      <w:lang w:val="zh-CN" w:eastAsia="zh-CN"/>
    </w:rPr>
  </w:style>
  <w:style w:type="paragraph" w:customStyle="1" w:styleId="36">
    <w:name w:val="简单回函地址"/>
    <w:basedOn w:val="1"/>
    <w:qFormat/>
    <w:uiPriority w:val="0"/>
    <w:rPr>
      <w:szCs w:val="20"/>
    </w:rPr>
  </w:style>
  <w:style w:type="character" w:customStyle="1" w:styleId="37">
    <w:name w:val="NormalCharacter"/>
    <w:semiHidden/>
    <w:qFormat/>
    <w:uiPriority w:val="0"/>
  </w:style>
</w:styles>
</file>

<file path=word/_rels/document.xml.rels><?xml version="1.0" encoding="UTF-8" standalone="yes"?>
<Relationships xmlns="http://schemas.openxmlformats.org/package/2006/relationships"><Relationship Id="rId9" Type="http://schemas.openxmlformats.org/officeDocument/2006/relationships/image" Target="media/image6.jpeg"/><Relationship Id="rId8" Type="http://schemas.openxmlformats.org/officeDocument/2006/relationships/image" Target="media/image5.jpeg"/><Relationship Id="rId7" Type="http://schemas.openxmlformats.org/officeDocument/2006/relationships/image" Target="media/image4.jpeg"/><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jpeg"/><Relationship Id="rId35" Type="http://schemas.openxmlformats.org/officeDocument/2006/relationships/fontTable" Target="fontTable.xml"/><Relationship Id="rId34" Type="http://schemas.openxmlformats.org/officeDocument/2006/relationships/customXml" Target="../customXml/item2.xml"/><Relationship Id="rId33" Type="http://schemas.openxmlformats.org/officeDocument/2006/relationships/numbering" Target="numbering.xml"/><Relationship Id="rId32" Type="http://schemas.openxmlformats.org/officeDocument/2006/relationships/customXml" Target="../customXml/item1.xml"/><Relationship Id="rId31" Type="http://schemas.openxmlformats.org/officeDocument/2006/relationships/image" Target="media/image28.jpeg"/><Relationship Id="rId30" Type="http://schemas.openxmlformats.org/officeDocument/2006/relationships/image" Target="media/image27.jpeg"/><Relationship Id="rId3" Type="http://schemas.openxmlformats.org/officeDocument/2006/relationships/theme" Target="theme/theme1.xml"/><Relationship Id="rId29" Type="http://schemas.openxmlformats.org/officeDocument/2006/relationships/image" Target="media/image26.jpeg"/><Relationship Id="rId28" Type="http://schemas.openxmlformats.org/officeDocument/2006/relationships/image" Target="media/image25.jpeg"/><Relationship Id="rId27" Type="http://schemas.openxmlformats.org/officeDocument/2006/relationships/image" Target="media/image24.jpeg"/><Relationship Id="rId26" Type="http://schemas.openxmlformats.org/officeDocument/2006/relationships/image" Target="media/image23.jpeg"/><Relationship Id="rId25" Type="http://schemas.openxmlformats.org/officeDocument/2006/relationships/image" Target="media/image22.jpeg"/><Relationship Id="rId24" Type="http://schemas.openxmlformats.org/officeDocument/2006/relationships/image" Target="media/image21.jpeg"/><Relationship Id="rId23" Type="http://schemas.openxmlformats.org/officeDocument/2006/relationships/image" Target="media/image20.jpeg"/><Relationship Id="rId22" Type="http://schemas.openxmlformats.org/officeDocument/2006/relationships/image" Target="media/image19.jpeg"/><Relationship Id="rId21" Type="http://schemas.openxmlformats.org/officeDocument/2006/relationships/image" Target="media/image18.jpeg"/><Relationship Id="rId20" Type="http://schemas.openxmlformats.org/officeDocument/2006/relationships/image" Target="media/image17.jpeg"/><Relationship Id="rId2" Type="http://schemas.openxmlformats.org/officeDocument/2006/relationships/settings" Target="settings.xml"/><Relationship Id="rId19" Type="http://schemas.openxmlformats.org/officeDocument/2006/relationships/image" Target="media/image16.jpeg"/><Relationship Id="rId18" Type="http://schemas.openxmlformats.org/officeDocument/2006/relationships/image" Target="media/image15.jpeg"/><Relationship Id="rId17" Type="http://schemas.openxmlformats.org/officeDocument/2006/relationships/image" Target="media/image14.jpeg"/><Relationship Id="rId16" Type="http://schemas.openxmlformats.org/officeDocument/2006/relationships/image" Target="media/image13.jpeg"/><Relationship Id="rId15" Type="http://schemas.openxmlformats.org/officeDocument/2006/relationships/image" Target="media/image12.jpeg"/><Relationship Id="rId14" Type="http://schemas.openxmlformats.org/officeDocument/2006/relationships/image" Target="media/image11.jpeg"/><Relationship Id="rId13" Type="http://schemas.openxmlformats.org/officeDocument/2006/relationships/image" Target="media/image10.jpeg"/><Relationship Id="rId12" Type="http://schemas.openxmlformats.org/officeDocument/2006/relationships/image" Target="media/image9.jpeg"/><Relationship Id="rId11" Type="http://schemas.openxmlformats.org/officeDocument/2006/relationships/image" Target="media/image8.jpeg"/><Relationship Id="rId10" Type="http://schemas.openxmlformats.org/officeDocument/2006/relationships/image" Target="media/image7.jpe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46AB5B6-CD4F-413D-B794-4ABCDB4538A1}">
  <ds:schemaRefs/>
</ds:datastoreItem>
</file>

<file path=docProps/app.xml><?xml version="1.0" encoding="utf-8"?>
<Properties xmlns="http://schemas.openxmlformats.org/officeDocument/2006/extended-properties" xmlns:vt="http://schemas.openxmlformats.org/officeDocument/2006/docPropsVTypes">
  <Template>Normal</Template>
  <Company>MC SYSTEM</Company>
  <Pages>13</Pages>
  <Words>862</Words>
  <Characters>4917</Characters>
  <Lines>40</Lines>
  <Paragraphs>11</Paragraphs>
  <TotalTime>0</TotalTime>
  <ScaleCrop>false</ScaleCrop>
  <LinksUpToDate>false</LinksUpToDate>
  <CharactersWithSpaces>5768</CharactersWithSpaces>
  <Application>WPS Office_11.1.0.10578_F1E327BC-269C-435d-A152-05C5408002CA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2021-07-13T12:59:00Z</dcterms:created>
  <dc:creator>MC SYSTEM</dc:creator>
  <cp:lastModifiedBy>孙书冬</cp:lastModifiedBy>
  <cp:lastPrinted>2019-08-30T09:22:00Z</cp:lastPrinted>
  <dcterms:modified xsi:type="dcterms:W3CDTF">2021-07-15T08:10:33Z</dcterms:modified>
  <dc:title>“仿古地板”标准编制说明</dc:title>
  <cp:revision>71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2052-11.1.0.10578</vt:lpwstr>
  </property>
  <property fmtid="{D5CDD505-2E9C-101B-9397-08002B2CF9AE}" pid="3" name="ICV">
    <vt:lpwstr>BAF596B94A0E4A33BFF0DFDB54DD80F6</vt:lpwstr>
  </property>
</Properties>
</file>